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rFonts w:ascii="Calibri" w:hAnsi="Calibri" w:eastAsia="Calibri"/>
          <w:b/>
          <w:i w:val="0"/>
          <w:color w:val="17384B"/>
          <w:sz w:val="36"/>
        </w:rPr>
        <w:t>Paws at School</w:t>
      </w:r>
    </w:p>
    <w:p>
      <w:pPr>
        <w:spacing w:after="160" w:before="0"/>
      </w:pPr>
      <w:r>
        <w:rPr>
          <w:rFonts w:ascii="Calibri" w:hAnsi="Calibri" w:eastAsia="Calibri"/>
          <w:b w:val="0"/>
          <w:i/>
          <w:color w:val="D96C4C"/>
          <w:sz w:val="24"/>
        </w:rPr>
        <w:t>Student planning handout — persuasive writing</w:t>
      </w:r>
    </w:p>
    <w:tbl>
      <w:tblPr>
        <w:tblStyle w:val="TableGrid"/>
        <w:tblW w:type="auto" w:w="0"/>
        <w:tblLook w:firstColumn="1" w:firstRow="1" w:lastColumn="0" w:lastRow="0" w:noHBand="0" w:noVBand="1" w:val="04A0"/>
      </w:tblPr>
      <w:tblGrid>
        <w:gridCol w:w="3400"/>
        <w:gridCol w:w="3400"/>
        <w:gridCol w:w="3400"/>
      </w:tblGrid>
      <w:tr>
        <w:tc>
          <w:tcPr>
            <w:tcW w:type="dxa" w:w="3400"/>
            <w:shd w:fill="FFF7E8" w:val="clear"/>
          </w:tcPr>
          <w:p>
            <w:pPr>
              <w:spacing w:after="40"/>
            </w:pPr>
            <w:r/>
            <w:r>
              <w:rPr>
                <w:rFonts w:ascii="Calibri" w:hAnsi="Calibri" w:eastAsia="Calibri"/>
                <w:b w:val="0"/>
                <w:i w:val="0"/>
                <w:color w:val="203541"/>
                <w:sz w:val="20"/>
              </w:rPr>
              <w:t>Name: ________________________</w:t>
            </w:r>
          </w:p>
        </w:tc>
        <w:tc>
          <w:tcPr>
            <w:tcW w:type="dxa" w:w="3400"/>
            <w:shd w:fill="FFF7E8" w:val="clear"/>
          </w:tcPr>
          <w:p>
            <w:pPr>
              <w:spacing w:after="40"/>
            </w:pPr>
            <w:r/>
            <w:r>
              <w:rPr>
                <w:rFonts w:ascii="Calibri" w:hAnsi="Calibri" w:eastAsia="Calibri"/>
                <w:b w:val="0"/>
                <w:i w:val="0"/>
                <w:color w:val="203541"/>
                <w:sz w:val="20"/>
              </w:rPr>
              <w:t>Class: ________</w:t>
            </w:r>
          </w:p>
        </w:tc>
        <w:tc>
          <w:tcPr>
            <w:tcW w:type="dxa" w:w="3400"/>
            <w:shd w:fill="FFF7E8" w:val="clear"/>
          </w:tcPr>
          <w:p>
            <w:pPr>
              <w:spacing w:after="40"/>
            </w:pPr>
            <w:r/>
            <w:r>
              <w:rPr>
                <w:rFonts w:ascii="Calibri" w:hAnsi="Calibri" w:eastAsia="Calibri"/>
                <w:b w:val="0"/>
                <w:i w:val="0"/>
                <w:color w:val="203541"/>
                <w:sz w:val="20"/>
              </w:rPr>
              <w:t>Date: ______________</w:t>
            </w:r>
          </w:p>
        </w:tc>
      </w:tr>
    </w:tbl>
    <w:p>
      <w:pPr>
        <w:spacing w:after="80" w:before="0"/>
      </w:pPr>
      <w:r>
        <w:rPr>
          <w:rFonts w:ascii="Calibri" w:hAnsi="Calibri" w:eastAsia="Calibri"/>
          <w:b w:val="0"/>
          <w:i w:val="0"/>
          <w:color w:val="203541"/>
          <w:sz w:val="22"/>
        </w:rPr>
      </w:r>
    </w:p>
    <w:p>
      <w:pPr>
        <w:spacing w:after="80" w:before="0"/>
      </w:pPr>
      <w:r>
        <w:rPr>
          <w:rFonts w:ascii="Calibri" w:hAnsi="Calibri" w:eastAsia="Calibri"/>
          <w:b/>
          <w:i w:val="0"/>
          <w:color w:val="17384B"/>
          <w:sz w:val="26"/>
        </w:rPr>
        <w:t>Learning intention</w:t>
      </w:r>
    </w:p>
    <w:p>
      <w:pPr>
        <w:spacing w:after="160" w:before="0"/>
      </w:pPr>
      <w:r>
        <w:rPr>
          <w:rFonts w:ascii="Calibri" w:hAnsi="Calibri" w:eastAsia="Calibri"/>
          <w:b w:val="0"/>
          <w:i w:val="0"/>
          <w:color w:val="203541"/>
          <w:sz w:val="22"/>
        </w:rPr>
        <w:t>We are learning how a persuasive writer uses reasons, supporting details and a fair response to concerns to convince a specific audience.</w:t>
      </w:r>
    </w:p>
    <w:p>
      <w:pPr>
        <w:spacing w:after="80" w:before="0"/>
      </w:pPr>
      <w:r>
        <w:rPr>
          <w:rFonts w:ascii="Calibri" w:hAnsi="Calibri" w:eastAsia="Calibri"/>
          <w:b/>
          <w:i w:val="0"/>
          <w:color w:val="17384B"/>
          <w:sz w:val="26"/>
        </w:rPr>
        <w:t>Model text — mark the job of each sentence</w:t>
      </w:r>
    </w:p>
    <w:p>
      <w:pPr>
        <w:spacing w:after="120" w:before="0"/>
      </w:pPr>
      <w:r>
        <w:rPr>
          <w:rFonts w:ascii="Calibri" w:hAnsi="Calibri" w:eastAsia="Calibri"/>
          <w:b w:val="0"/>
          <w:i/>
          <w:color w:val="203541"/>
          <w:sz w:val="20"/>
        </w:rPr>
        <w:t>As you listen, label: hook · opinion · preview · reason · supporting detail · fair concern · response · call to action.</w:t>
      </w:r>
    </w:p>
    <w:p>
      <w:pPr>
        <w:spacing w:after="120" w:before="0"/>
      </w:pPr>
      <w:r>
        <w:rPr>
          <w:rFonts w:ascii="Calibri" w:hAnsi="Calibri" w:eastAsia="Calibri"/>
          <w:b/>
          <w:i w:val="0"/>
          <w:color w:val="17384B"/>
          <w:sz w:val="24"/>
        </w:rPr>
        <w:t>Paws at School: Let Us Hold a Pet Learning Day</w:t>
      </w:r>
    </w:p>
    <w:p>
      <w:pPr>
        <w:spacing w:after="160" w:before="0"/>
      </w:pPr>
      <w:r>
        <w:rPr>
          <w:rFonts w:ascii="Calibri" w:hAnsi="Calibri" w:eastAsia="Calibri"/>
          <w:b w:val="0"/>
          <w:i w:val="0"/>
          <w:color w:val="203541"/>
          <w:sz w:val="22"/>
        </w:rPr>
        <w:t>Imagine walking into school and seeing a calm dog beside its owner, a rabbit resting in a safe pen and a fish tank ready for observation. I believe our principal should allow students to bring approved pets to school for a special Pet Learning Day. With clear rules, pets could help us learn about care, responsibility and living things.</w:t>
      </w:r>
    </w:p>
    <w:p>
      <w:pPr>
        <w:spacing w:after="160" w:before="0"/>
      </w:pPr>
      <w:r>
        <w:rPr>
          <w:rFonts w:ascii="Calibri" w:hAnsi="Calibri" w:eastAsia="Calibri"/>
          <w:b w:val="0"/>
          <w:i w:val="0"/>
          <w:color w:val="203541"/>
          <w:sz w:val="22"/>
        </w:rPr>
        <w:t>First, a Pet Learning Day could teach us to care for animals. Students could prepare information cards about what their pet eats, needs and how to keep it safe. The Queensland Department of Education says schools have a duty of care and must protect animals from hunger, discomfort, pain and fear. This means the day would be a real lesson, not just playtime.</w:t>
      </w:r>
    </w:p>
    <w:p>
      <w:pPr>
        <w:spacing w:after="160" w:before="0"/>
      </w:pPr>
      <w:r>
        <w:rPr>
          <w:rFonts w:ascii="Calibri" w:hAnsi="Calibri" w:eastAsia="Calibri"/>
          <w:b w:val="0"/>
          <w:i w:val="0"/>
          <w:color w:val="203541"/>
          <w:sz w:val="22"/>
        </w:rPr>
        <w:t>Second, pets could make learning memorable and help students share knowledge. A student might explain how a bird uses its beak or how a guinea pig communicates. We could listen, ask questions and learn from one another. What better way to study living things than observing them carefully?</w:t>
      </w:r>
    </w:p>
    <w:p>
      <w:pPr>
        <w:spacing w:after="160" w:before="0"/>
      </w:pPr>
      <w:r>
        <w:rPr>
          <w:rFonts w:ascii="Calibri" w:hAnsi="Calibri" w:eastAsia="Calibri"/>
          <w:b w:val="0"/>
          <w:i w:val="0"/>
          <w:color w:val="203541"/>
          <w:sz w:val="22"/>
        </w:rPr>
        <w:t>Some people may worry about allergies, bites, mess or frightened animals. These are fair concerns. However, the school could approve pets before the day, require an adult handler, provide a no-contact area and make everyone wash their hands. Dangerous, sick or unsuitable pets would stay home, and any animal showing stress would leave immediately.</w:t>
      </w:r>
    </w:p>
    <w:p>
      <w:pPr>
        <w:spacing w:after="160" w:before="0"/>
      </w:pPr>
      <w:r>
        <w:rPr>
          <w:rFonts w:ascii="Calibri" w:hAnsi="Calibri" w:eastAsia="Calibri"/>
          <w:b w:val="0"/>
          <w:i w:val="0"/>
          <w:color w:val="203541"/>
          <w:sz w:val="22"/>
        </w:rPr>
        <w:t>In conclusion, our principal should allow a carefully planned Pet Learning Day. It would teach responsibility, make learning memorable and let students share knowledge. With strong safety and welfare rules, we can protect people and pets. Please give us one trial day and let us show that paws, claws and fins can belong in learning!</w:t>
      </w:r>
    </w:p>
    <w:p>
      <w:pPr>
        <w:spacing w:after="80" w:before="0"/>
      </w:pPr>
      <w:r>
        <w:rPr>
          <w:rFonts w:ascii="Calibri" w:hAnsi="Calibri" w:eastAsia="Calibri"/>
          <w:b/>
          <w:i w:val="0"/>
          <w:color w:val="17384B"/>
          <w:sz w:val="26"/>
        </w:rPr>
        <w:t>Your turn — six planning moves for your own topic</w:t>
      </w:r>
    </w:p>
    <w:p>
      <w:pPr>
        <w:spacing w:after="120" w:before="0"/>
      </w:pPr>
      <w:r>
        <w:rPr>
          <w:rFonts w:ascii="Calibri" w:hAnsi="Calibri" w:eastAsia="Calibri"/>
          <w:b w:val="0"/>
          <w:i/>
          <w:color w:val="203541"/>
          <w:sz w:val="20"/>
        </w:rPr>
        <w:t>Keep the six jobs. Change the topic, audience, evidence and action. Write notes first; full sentences can come later.</w:t>
      </w:r>
    </w:p>
    <w:p>
      <w:pPr>
        <w:spacing w:after="40" w:before="0"/>
      </w:pPr>
      <w:r>
        <w:rPr>
          <w:rFonts w:ascii="Calibri" w:hAnsi="Calibri" w:eastAsia="Calibri"/>
          <w:b/>
          <w:i w:val="0"/>
          <w:color w:val="17384B"/>
          <w:sz w:val="24"/>
        </w:rPr>
        <w:t>1. Audience + opinion</w:t>
      </w:r>
    </w:p>
    <w:p>
      <w:pPr>
        <w:spacing w:after="80" w:before="0"/>
      </w:pPr>
      <w:r>
        <w:rPr>
          <w:rFonts w:ascii="Calibri" w:hAnsi="Calibri" w:eastAsia="Calibri"/>
          <w:b w:val="0"/>
          <w:i/>
          <w:color w:val="5B6D76"/>
          <w:sz w:val="20"/>
        </w:rPr>
        <w:t>Who must decide, and what exactly should they approve?</w:t>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40" w:before="0"/>
      </w:pPr>
      <w:r>
        <w:rPr>
          <w:rFonts w:ascii="Calibri" w:hAnsi="Calibri" w:eastAsia="Calibri"/>
          <w:b/>
          <w:i w:val="0"/>
          <w:color w:val="17384B"/>
          <w:sz w:val="24"/>
        </w:rPr>
        <w:t>2. Hook</w:t>
      </w:r>
    </w:p>
    <w:p>
      <w:pPr>
        <w:spacing w:after="80" w:before="0"/>
      </w:pPr>
      <w:r>
        <w:rPr>
          <w:rFonts w:ascii="Calibri" w:hAnsi="Calibri" w:eastAsia="Calibri"/>
          <w:b w:val="0"/>
          <w:i/>
          <w:color w:val="5B6D76"/>
          <w:sz w:val="20"/>
        </w:rPr>
        <w:t>What picture will you put in the reader’s mind before the request?</w:t>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40" w:before="0"/>
      </w:pPr>
      <w:r>
        <w:rPr>
          <w:rFonts w:ascii="Calibri" w:hAnsi="Calibri" w:eastAsia="Calibri"/>
          <w:b/>
          <w:i w:val="0"/>
          <w:color w:val="17384B"/>
          <w:sz w:val="24"/>
        </w:rPr>
        <w:t>3. Reason 1 + supporting detail</w:t>
      </w:r>
    </w:p>
    <w:p>
      <w:pPr>
        <w:spacing w:after="80" w:before="0"/>
      </w:pPr>
      <w:r>
        <w:rPr>
          <w:rFonts w:ascii="Calibri" w:hAnsi="Calibri" w:eastAsia="Calibri"/>
          <w:b w:val="0"/>
          <w:i/>
          <w:color w:val="5B6D76"/>
          <w:sz w:val="20"/>
        </w:rPr>
        <w:t>Name a source or a checkable fact. Then write This means…</w:t>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40" w:before="0"/>
      </w:pPr>
      <w:r>
        <w:rPr>
          <w:rFonts w:ascii="Calibri" w:hAnsi="Calibri" w:eastAsia="Calibri"/>
          <w:b/>
          <w:i w:val="0"/>
          <w:color w:val="17384B"/>
          <w:sz w:val="24"/>
        </w:rPr>
        <w:t>4. Reason 2 + explanation</w:t>
      </w:r>
    </w:p>
    <w:p>
      <w:pPr>
        <w:spacing w:after="80" w:before="0"/>
      </w:pPr>
      <w:r>
        <w:rPr>
          <w:rFonts w:ascii="Calibri" w:hAnsi="Calibri" w:eastAsia="Calibri"/>
          <w:b w:val="0"/>
          <w:i/>
          <w:color w:val="5B6D76"/>
          <w:sz w:val="20"/>
        </w:rPr>
        <w:t>Use because / so / this means to connect action to a result.</w:t>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40" w:before="0"/>
      </w:pPr>
      <w:r>
        <w:rPr>
          <w:rFonts w:ascii="Calibri" w:hAnsi="Calibri" w:eastAsia="Calibri"/>
          <w:b/>
          <w:i w:val="0"/>
          <w:color w:val="17384B"/>
          <w:sz w:val="24"/>
        </w:rPr>
        <w:t>5. Fair concern + workable response</w:t>
      </w:r>
    </w:p>
    <w:p>
      <w:pPr>
        <w:spacing w:after="80" w:before="0"/>
      </w:pPr>
      <w:r>
        <w:rPr>
          <w:rFonts w:ascii="Calibri" w:hAnsi="Calibri" w:eastAsia="Calibri"/>
          <w:b w:val="0"/>
          <w:i/>
          <w:color w:val="5B6D76"/>
          <w:sz w:val="20"/>
        </w:rPr>
        <w:t>Respect the worry. Give a rule the audience can check.</w:t>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40" w:before="0"/>
      </w:pPr>
      <w:r>
        <w:rPr>
          <w:rFonts w:ascii="Calibri" w:hAnsi="Calibri" w:eastAsia="Calibri"/>
          <w:b/>
          <w:i w:val="0"/>
          <w:color w:val="17384B"/>
          <w:sz w:val="24"/>
        </w:rPr>
        <w:t>6. Conclusion + call to action</w:t>
      </w:r>
    </w:p>
    <w:p>
      <w:pPr>
        <w:spacing w:after="80" w:before="0"/>
      </w:pPr>
      <w:r>
        <w:rPr>
          <w:rFonts w:ascii="Calibri" w:hAnsi="Calibri" w:eastAsia="Calibri"/>
          <w:b w:val="0"/>
          <w:i/>
          <w:color w:val="5B6D76"/>
          <w:sz w:val="20"/>
        </w:rPr>
        <w:t>Restate the opinion. Ask for one specific action.</w:t>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120" w:before="0"/>
      </w:pPr>
      <w:r>
        <w:rPr>
          <w:rFonts w:ascii="Calibri" w:hAnsi="Calibri" w:eastAsia="Calibri"/>
          <w:b/>
          <w:i w:val="0"/>
          <w:color w:val="17384B"/>
          <w:sz w:val="26"/>
        </w:rPr>
        <w:t>Success criteria</w:t>
      </w:r>
    </w:p>
    <w:tbl>
      <w:tblPr>
        <w:tblStyle w:val="TableGrid"/>
        <w:tblW w:type="auto" w:w="0"/>
        <w:jc w:val="center"/>
        <w:tblLook w:firstColumn="1" w:firstRow="1" w:lastColumn="0" w:lastRow="0" w:noHBand="0" w:noVBand="1" w:val="04A0"/>
      </w:tblPr>
      <w:tblGrid>
        <w:gridCol w:w="5100"/>
        <w:gridCol w:w="5100"/>
      </w:tblGrid>
      <w:tr>
        <w:tc>
          <w:tcPr>
            <w:tcW w:type="dxa" w:w="4819"/>
            <w:shd w:fill="17384B" w:val="clear"/>
          </w:tcPr>
          <w:p>
            <w:pPr>
              <w:spacing w:after="40"/>
            </w:pPr>
            <w:r/>
            <w:r>
              <w:rPr>
                <w:rFonts w:ascii="Calibri" w:hAnsi="Calibri" w:eastAsia="Calibri"/>
                <w:b/>
                <w:i w:val="0"/>
                <w:color w:val="FFFFFF"/>
                <w:sz w:val="20"/>
              </w:rPr>
              <w:t>Part A · Written</w:t>
            </w:r>
          </w:p>
        </w:tc>
        <w:tc>
          <w:tcPr>
            <w:tcW w:type="dxa" w:w="4819"/>
            <w:shd w:fill="17384B" w:val="clear"/>
          </w:tcPr>
          <w:p>
            <w:pPr>
              <w:spacing w:after="40"/>
            </w:pPr>
            <w:r/>
            <w:r>
              <w:rPr>
                <w:rFonts w:ascii="Calibri" w:hAnsi="Calibri" w:eastAsia="Calibri"/>
                <w:b/>
                <w:i w:val="0"/>
                <w:color w:val="FFFFFF"/>
                <w:sz w:val="20"/>
              </w:rPr>
              <w:t>Part B · Spoken</w:t>
            </w:r>
          </w:p>
        </w:tc>
      </w:tr>
      <w:tr>
        <w:tc>
          <w:tcPr>
            <w:tcW w:type="dxa" w:w="4819"/>
            <w:shd w:fill="F4F8F6" w:val="clear"/>
          </w:tcPr>
          <w:p>
            <w:pPr>
              <w:spacing w:after="40"/>
            </w:pPr>
            <w:r/>
            <w:r>
              <w:rPr>
                <w:rFonts w:ascii="Calibri" w:hAnsi="Calibri" w:eastAsia="Calibri"/>
                <w:b w:val="0"/>
                <w:i w:val="0"/>
                <w:color w:val="203541"/>
                <w:sz w:val="20"/>
              </w:rPr>
              <w:t>□ Clear audience and opinion</w:t>
            </w:r>
          </w:p>
        </w:tc>
        <w:tc>
          <w:tcPr>
            <w:tcW w:type="dxa" w:w="4819"/>
            <w:shd w:fill="F4F8F6" w:val="clear"/>
          </w:tcPr>
          <w:p>
            <w:pPr>
              <w:spacing w:after="40"/>
            </w:pPr>
            <w:r/>
            <w:r>
              <w:rPr>
                <w:rFonts w:ascii="Calibri" w:hAnsi="Calibri" w:eastAsia="Calibri"/>
                <w:b w:val="0"/>
                <w:i w:val="0"/>
                <w:color w:val="203541"/>
                <w:sz w:val="20"/>
              </w:rPr>
              <w:t>□ Use writing as a guide, not a script</w:t>
            </w:r>
          </w:p>
        </w:tc>
      </w:tr>
      <w:tr>
        <w:tc>
          <w:tcPr>
            <w:tcW w:type="dxa" w:w="4819"/>
            <w:shd w:fill="FFFFFF" w:val="clear"/>
          </w:tcPr>
          <w:p>
            <w:pPr>
              <w:spacing w:after="40"/>
            </w:pPr>
            <w:r/>
            <w:r>
              <w:rPr>
                <w:rFonts w:ascii="Calibri" w:hAnsi="Calibri" w:eastAsia="Calibri"/>
                <w:b w:val="0"/>
                <w:i w:val="0"/>
                <w:color w:val="203541"/>
                <w:sz w:val="20"/>
              </w:rPr>
              <w:t>□ Hook and reason preview</w:t>
            </w:r>
          </w:p>
        </w:tc>
        <w:tc>
          <w:tcPr>
            <w:tcW w:type="dxa" w:w="4819"/>
            <w:shd w:fill="FFFFFF" w:val="clear"/>
          </w:tcPr>
          <w:p>
            <w:pPr>
              <w:spacing w:after="40"/>
            </w:pPr>
            <w:r/>
            <w:r>
              <w:rPr>
                <w:rFonts w:ascii="Calibri" w:hAnsi="Calibri" w:eastAsia="Calibri"/>
                <w:b w:val="0"/>
                <w:i w:val="0"/>
                <w:color w:val="203541"/>
                <w:sz w:val="20"/>
              </w:rPr>
              <w:t>□ Look at the audience</w:t>
            </w:r>
          </w:p>
        </w:tc>
      </w:tr>
      <w:tr>
        <w:tc>
          <w:tcPr>
            <w:tcW w:type="dxa" w:w="4819"/>
            <w:shd w:fill="F4F8F6" w:val="clear"/>
          </w:tcPr>
          <w:p>
            <w:pPr>
              <w:spacing w:after="40"/>
            </w:pPr>
            <w:r/>
            <w:r>
              <w:rPr>
                <w:rFonts w:ascii="Calibri" w:hAnsi="Calibri" w:eastAsia="Calibri"/>
                <w:b w:val="0"/>
                <w:i w:val="0"/>
                <w:color w:val="203541"/>
                <w:sz w:val="20"/>
              </w:rPr>
              <w:t>□ Two reasons with supporting details</w:t>
            </w:r>
          </w:p>
        </w:tc>
        <w:tc>
          <w:tcPr>
            <w:tcW w:type="dxa" w:w="4819"/>
            <w:shd w:fill="F4F8F6" w:val="clear"/>
          </w:tcPr>
          <w:p>
            <w:pPr>
              <w:spacing w:after="40"/>
            </w:pPr>
            <w:r/>
            <w:r>
              <w:rPr>
                <w:rFonts w:ascii="Calibri" w:hAnsi="Calibri" w:eastAsia="Calibri"/>
                <w:b w:val="0"/>
                <w:i w:val="0"/>
                <w:color w:val="203541"/>
                <w:sz w:val="20"/>
              </w:rPr>
              <w:t>□ Pause at an important moment</w:t>
            </w:r>
          </w:p>
        </w:tc>
      </w:tr>
      <w:tr>
        <w:tc>
          <w:tcPr>
            <w:tcW w:type="dxa" w:w="4819"/>
            <w:shd w:fill="FFFFFF" w:val="clear"/>
          </w:tcPr>
          <w:p>
            <w:pPr>
              <w:spacing w:after="40"/>
            </w:pPr>
            <w:r/>
            <w:r>
              <w:rPr>
                <w:rFonts w:ascii="Calibri" w:hAnsi="Calibri" w:eastAsia="Calibri"/>
                <w:b w:val="0"/>
                <w:i w:val="0"/>
                <w:color w:val="203541"/>
                <w:sz w:val="20"/>
              </w:rPr>
              <w:t>□ Fair concern and workable response</w:t>
            </w:r>
          </w:p>
        </w:tc>
        <w:tc>
          <w:tcPr>
            <w:tcW w:type="dxa" w:w="4819"/>
            <w:shd w:fill="FFFFFF" w:val="clear"/>
          </w:tcPr>
          <w:p>
            <w:pPr>
              <w:spacing w:after="40"/>
            </w:pPr>
            <w:r/>
            <w:r>
              <w:rPr>
                <w:rFonts w:ascii="Calibri" w:hAnsi="Calibri" w:eastAsia="Calibri"/>
                <w:b w:val="0"/>
                <w:i w:val="0"/>
                <w:color w:val="203541"/>
                <w:sz w:val="20"/>
              </w:rPr>
              <w:t>□ Change pace, tone or volume for meaning</w:t>
            </w:r>
          </w:p>
        </w:tc>
      </w:tr>
      <w:tr>
        <w:tc>
          <w:tcPr>
            <w:tcW w:type="dxa" w:w="4819"/>
            <w:shd w:fill="F4F8F6" w:val="clear"/>
          </w:tcPr>
          <w:p>
            <w:pPr>
              <w:spacing w:after="40"/>
            </w:pPr>
            <w:r/>
            <w:r>
              <w:rPr>
                <w:rFonts w:ascii="Calibri" w:hAnsi="Calibri" w:eastAsia="Calibri"/>
                <w:b w:val="0"/>
                <w:i w:val="0"/>
                <w:color w:val="203541"/>
                <w:sz w:val="20"/>
              </w:rPr>
              <w:t>□ Specific call to action</w:t>
            </w:r>
          </w:p>
        </w:tc>
        <w:tc>
          <w:tcPr>
            <w:tcW w:type="dxa" w:w="4819"/>
            <w:shd w:fill="F4F8F6" w:val="clear"/>
          </w:tcPr>
          <w:p>
            <w:pPr>
              <w:spacing w:after="40"/>
            </w:pPr>
            <w:r/>
            <w:r>
              <w:rPr>
                <w:rFonts w:ascii="Calibri" w:hAnsi="Calibri" w:eastAsia="Calibri"/>
                <w:b w:val="0"/>
                <w:i w:val="0"/>
                <w:color w:val="203541"/>
                <w:sz w:val="20"/>
              </w:rPr>
              <w:t>□ Rehearse, receive feedback and revise</w:t>
            </w:r>
          </w:p>
        </w:tc>
      </w:tr>
    </w:tbl>
    <w:p>
      <w:pPr>
        <w:spacing w:after="160" w:before="0"/>
      </w:pPr>
      <w:r>
        <w:rPr>
          <w:rFonts w:ascii="Calibri" w:hAnsi="Calibri" w:eastAsia="Calibri"/>
          <w:b w:val="0"/>
          <w:i w:val="0"/>
          <w:color w:val="203541"/>
          <w:sz w:val="22"/>
        </w:rPr>
      </w:r>
    </w:p>
    <w:p>
      <w:pPr>
        <w:spacing w:after="80" w:before="0"/>
      </w:pPr>
      <w:r>
        <w:rPr>
          <w:rFonts w:ascii="Calibri" w:hAnsi="Calibri" w:eastAsia="Calibri"/>
          <w:b/>
          <w:i w:val="0"/>
          <w:color w:val="17384B"/>
          <w:sz w:val="26"/>
        </w:rPr>
        <w:t>Part B voice notes</w:t>
      </w:r>
    </w:p>
    <w:p>
      <w:pPr>
        <w:spacing w:after="120" w:before="0"/>
      </w:pPr>
      <w:r>
        <w:rPr>
          <w:rFonts w:ascii="Calibri" w:hAnsi="Calibri" w:eastAsia="Calibri"/>
          <w:b w:val="0"/>
          <w:i/>
          <w:color w:val="203541"/>
          <w:sz w:val="20"/>
        </w:rPr>
        <w:t>Mark one 30–45 second section with at least two voice choices (pace, pause, volume or emphasis).</w:t>
      </w:r>
    </w:p>
    <w:p>
      <w:pPr>
        <w:spacing w:after="40" w:before="0"/>
      </w:pPr>
      <w:r>
        <w:rPr>
          <w:rFonts w:ascii="Calibri" w:hAnsi="Calibri" w:eastAsia="Calibri"/>
          <w:b/>
          <w:i w:val="0"/>
          <w:color w:val="17384B"/>
          <w:sz w:val="24"/>
        </w:rPr>
        <w:t>The section I will say</w:t>
      </w:r>
    </w:p>
    <w:p>
      <w:pPr>
        <w:spacing w:after="80" w:before="0"/>
      </w:pPr>
      <w:r>
        <w:rPr>
          <w:rFonts w:ascii="Calibri" w:hAnsi="Calibri" w:eastAsia="Calibri"/>
          <w:b w:val="0"/>
          <w:i/>
          <w:color w:val="5B6D76"/>
          <w:sz w:val="20"/>
        </w:rPr>
        <w:t>Copy or adapt 3–5 sentences. Write voice cues in the margin.</w:t>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40" w:before="0"/>
      </w:pPr>
      <w:r>
        <w:rPr>
          <w:rFonts w:ascii="Calibri" w:hAnsi="Calibri" w:eastAsia="Calibri"/>
          <w:b/>
          <w:i w:val="0"/>
          <w:color w:val="17384B"/>
          <w:sz w:val="24"/>
        </w:rPr>
        <w:t>Partner feedback</w:t>
      </w:r>
    </w:p>
    <w:p>
      <w:pPr>
        <w:spacing w:after="80" w:before="0"/>
      </w:pPr>
      <w:r>
        <w:rPr>
          <w:rFonts w:ascii="Calibri" w:hAnsi="Calibri" w:eastAsia="Calibri"/>
          <w:b w:val="0"/>
          <w:i/>
          <w:color w:val="5B6D76"/>
          <w:sz w:val="20"/>
        </w:rPr>
        <w:t>Your clearest moment was…  I would change…</w:t>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80" w:before="0"/>
      </w:pPr>
      <w:r>
        <w:rPr>
          <w:rFonts w:ascii="Calibri" w:hAnsi="Calibri" w:eastAsia="Calibri"/>
          <w:b/>
          <w:i w:val="0"/>
          <w:color w:val="17384B"/>
          <w:sz w:val="26"/>
        </w:rPr>
        <w:t>Exit ticket</w:t>
      </w:r>
    </w:p>
    <w:p>
      <w:pPr>
        <w:spacing w:after="120" w:before="0"/>
      </w:pPr>
      <w:r>
        <w:rPr>
          <w:rFonts w:ascii="Calibri" w:hAnsi="Calibri" w:eastAsia="Calibri"/>
          <w:b w:val="0"/>
          <w:i w:val="0"/>
          <w:color w:val="203541"/>
          <w:sz w:val="22"/>
        </w:rPr>
        <w:t>Improve this bare claim: “Pets at school would be good.” Add a reason, a supporting detail or a workable rule.</w:t>
      </w:r>
    </w:p>
    <w:p>
      <w:pPr>
        <w:spacing w:after="40" w:before="0"/>
      </w:pPr>
      <w:r>
        <w:rPr>
          <w:rFonts w:ascii="Calibri" w:hAnsi="Calibri" w:eastAsia="Calibri"/>
          <w:b/>
          <w:i w:val="0"/>
          <w:color w:val="17384B"/>
          <w:sz w:val="24"/>
        </w:rPr>
        <w:t>My stronger sentence</w:t>
      </w:r>
    </w:p>
    <w:p>
      <w:pPr>
        <w:spacing w:after="80" w:before="0"/>
      </w:pPr>
      <w:r>
        <w:rPr>
          <w:rFonts w:ascii="Calibri" w:hAnsi="Calibri" w:eastAsia="Calibri"/>
          <w:b w:val="0"/>
          <w:i/>
          <w:color w:val="5B6D76"/>
          <w:sz w:val="20"/>
        </w:rPr>
      </w:r>
    </w:p>
    <w:tbl>
      <w:tblPr>
        <w:tblStyle w:val="TableGrid"/>
        <w:tblW w:type="auto" w:w="0"/>
        <w:tblLook w:firstColumn="1" w:firstRow="1" w:lastColumn="0" w:lastRow="0" w:noHBand="0" w:noVBand="1" w:val="04A0"/>
      </w:tblPr>
      <w:tblGrid>
        <w:gridCol w:w="10200"/>
      </w:tblGrid>
      <w:tr>
        <w:tc>
          <w:tcPr>
            <w:tcW w:type="dxa" w:w="10200"/>
            <w:shd w:fill="FBFCFA" w:val="clear"/>
          </w:tcPr>
          <w:p>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p>
            <w:pPr>
              <w:spacing w:after="200"/>
            </w:pPr>
            <w:r>
              <w:rPr>
                <w:rFonts w:ascii="Calibri" w:hAnsi="Calibri" w:eastAsia="Calibri"/>
                <w:b w:val="0"/>
                <w:i w:val="0"/>
                <w:color w:val="C8D6D9"/>
                <w:sz w:val="22"/>
              </w:rPr>
              <w:t>________________________________________________________________</w:t>
            </w:r>
          </w:p>
        </w:tc>
      </w:tr>
    </w:tbl>
    <w:p/>
    <w:p>
      <w:pPr>
        <w:spacing w:after="0" w:before="0"/>
      </w:pPr>
      <w:r>
        <w:rPr>
          <w:rFonts w:ascii="Calibri" w:hAnsi="Calibri" w:eastAsia="Calibri"/>
          <w:b w:val="0"/>
          <w:i/>
          <w:color w:val="5B6D76"/>
          <w:sz w:val="18"/>
        </w:rPr>
        <w:t>Reminder: this lesson studies how a model writer earns agreement. It is not a class vote about pets. A real Pet Learning Day would need school approval, risk planning and animal-welfare arrangements.</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