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40" w:before="0"/>
      </w:pPr>
      <w:r>
        <w:rPr>
          <w:rFonts w:ascii="Calibri" w:hAnsi="Calibri" w:eastAsia="Calibri"/>
          <w:b/>
          <w:i w:val="0"/>
          <w:color w:val="17384B"/>
          <w:sz w:val="32"/>
        </w:rPr>
        <w:t>YEAR 5/6 ENGLISH PERSUASIVE WRITING EXEMPLAR</w:t>
      </w:r>
    </w:p>
    <w:p>
      <w:pPr>
        <w:spacing w:after="240" w:before="0"/>
      </w:pPr>
      <w:r>
        <w:rPr>
          <w:rFonts w:ascii="Calibri" w:hAnsi="Calibri" w:eastAsia="Calibri"/>
          <w:b w:val="0"/>
          <w:i/>
          <w:color w:val="D96C4C"/>
          <w:sz w:val="24"/>
        </w:rPr>
        <w:t>Assessment Task 3: Express an Opinion — A carefully planned Pet Learning Day</w:t>
      </w:r>
    </w:p>
    <w:tbl>
      <w:tblPr>
        <w:tblStyle w:val="TableGrid"/>
        <w:tblW w:type="auto" w:w="0"/>
        <w:tblLook w:firstColumn="1" w:firstRow="1" w:lastColumn="0" w:lastRow="0" w:noHBand="0" w:noVBand="1" w:val="04A0"/>
      </w:tblPr>
      <w:tblGrid>
        <w:gridCol w:w="3400"/>
        <w:gridCol w:w="3400"/>
        <w:gridCol w:w="3400"/>
      </w:tblGrid>
      <w:tr>
        <w:tc>
          <w:tcPr>
            <w:tcW w:type="dxa" w:w="3400"/>
            <w:shd w:fill="FFF7E8" w:val="clear"/>
          </w:tcPr>
          <w:p>
            <w:pPr>
              <w:spacing w:after="40"/>
            </w:pPr>
            <w:r/>
            <w:r>
              <w:rPr>
                <w:rFonts w:ascii="Calibri" w:hAnsi="Calibri" w:eastAsia="Calibri"/>
                <w:b w:val="0"/>
                <w:i w:val="0"/>
                <w:color w:val="203541"/>
                <w:sz w:val="20"/>
              </w:rPr>
              <w:t>Student Name: ________________________</w:t>
            </w:r>
          </w:p>
        </w:tc>
        <w:tc>
          <w:tcPr>
            <w:tcW w:type="dxa" w:w="3400"/>
            <w:shd w:fill="FFF7E8" w:val="clear"/>
          </w:tcPr>
          <w:p>
            <w:pPr>
              <w:spacing w:after="40"/>
            </w:pPr>
            <w:r/>
            <w:r>
              <w:rPr>
                <w:rFonts w:ascii="Calibri" w:hAnsi="Calibri" w:eastAsia="Calibri"/>
                <w:b w:val="0"/>
                <w:i w:val="0"/>
                <w:color w:val="203541"/>
                <w:sz w:val="20"/>
              </w:rPr>
              <w:t>Class: Year 5/6 ____</w:t>
            </w:r>
          </w:p>
        </w:tc>
        <w:tc>
          <w:tcPr>
            <w:tcW w:type="dxa" w:w="3400"/>
            <w:shd w:fill="FFF7E8" w:val="clear"/>
          </w:tcPr>
          <w:p>
            <w:pPr>
              <w:spacing w:after="40"/>
            </w:pPr>
            <w:r/>
            <w:r>
              <w:rPr>
                <w:rFonts w:ascii="Calibri" w:hAnsi="Calibri" w:eastAsia="Calibri"/>
                <w:b w:val="0"/>
                <w:i w:val="0"/>
                <w:color w:val="203541"/>
                <w:sz w:val="20"/>
              </w:rPr>
              <w:t>Date: ______________</w:t>
            </w:r>
          </w:p>
        </w:tc>
      </w:tr>
    </w:tbl>
    <w:p>
      <w:pPr>
        <w:spacing w:after="80" w:before="0"/>
      </w:pPr>
      <w:r>
        <w:rPr>
          <w:rFonts w:ascii="Calibri" w:hAnsi="Calibri" w:eastAsia="Calibri"/>
          <w:b w:val="0"/>
          <w:i w:val="0"/>
          <w:color w:val="203541"/>
          <w:sz w:val="22"/>
        </w:rPr>
      </w:r>
    </w:p>
    <w:p>
      <w:pPr>
        <w:spacing w:after="120" w:before="0"/>
      </w:pPr>
      <w:r>
        <w:rPr>
          <w:rFonts w:ascii="Calibri" w:hAnsi="Calibri" w:eastAsia="Calibri"/>
          <w:b/>
          <w:i w:val="0"/>
          <w:color w:val="17384B"/>
          <w:sz w:val="28"/>
        </w:rPr>
        <w:t>How to use this student assessment exemplar</w:t>
      </w:r>
    </w:p>
    <w:p>
      <w:pPr>
        <w:spacing w:after="120" w:before="0"/>
      </w:pPr>
      <w:r>
        <w:rPr>
          <w:rFonts w:ascii="Calibri" w:hAnsi="Calibri" w:eastAsia="Calibri"/>
          <w:b w:val="0"/>
          <w:i w:val="0"/>
          <w:color w:val="203541"/>
          <w:sz w:val="22"/>
        </w:rPr>
        <w:t>This document is an assessment-style model. Use it to see how a writer moves from a clear opinion to reasons, supporting details, a fair concern and a workable call to action. It is written in short, concrete sentences so the craft moves stay visible.</w:t>
      </w:r>
    </w:p>
    <w:p>
      <w:pPr>
        <w:spacing w:after="60" w:before="0"/>
      </w:pPr>
      <w:r>
        <w:rPr>
          <w:rFonts w:ascii="Calibri" w:hAnsi="Calibri" w:eastAsia="Calibri"/>
          <w:b w:val="0"/>
          <w:i w:val="0"/>
          <w:color w:val="203541"/>
          <w:sz w:val="22"/>
        </w:rPr>
        <w:t>•  Organise research on a six-part planning sheet (Part A Planning).</w:t>
      </w:r>
    </w:p>
    <w:p>
      <w:pPr>
        <w:spacing w:after="60" w:before="0"/>
      </w:pPr>
      <w:r>
        <w:rPr>
          <w:rFonts w:ascii="Calibri" w:hAnsi="Calibri" w:eastAsia="Calibri"/>
          <w:b w:val="0"/>
          <w:i w:val="0"/>
          <w:color w:val="203541"/>
          <w:sz w:val="22"/>
        </w:rPr>
        <w:t>•  Structure a persuasive text with hook, opinion, two supported reasons, a fair concern and a specific request.</w:t>
      </w:r>
    </w:p>
    <w:p>
      <w:pPr>
        <w:spacing w:after="60" w:before="0"/>
      </w:pPr>
      <w:r>
        <w:rPr>
          <w:rFonts w:ascii="Calibri" w:hAnsi="Calibri" w:eastAsia="Calibri"/>
          <w:b w:val="0"/>
          <w:i w:val="0"/>
          <w:color w:val="203541"/>
          <w:sz w:val="22"/>
        </w:rPr>
        <w:t>•  Answer an audience worry with a rule the principal could actually check.</w:t>
      </w:r>
    </w:p>
    <w:p>
      <w:pPr>
        <w:spacing w:after="60" w:before="0"/>
      </w:pPr>
      <w:r>
        <w:rPr>
          <w:rFonts w:ascii="Calibri" w:hAnsi="Calibri" w:eastAsia="Calibri"/>
          <w:b w:val="0"/>
          <w:i w:val="0"/>
          <w:color w:val="203541"/>
          <w:sz w:val="22"/>
        </w:rPr>
        <w:t>•  Annotate a spoken section for pace, pause, volume or emphasis (Part B).</w:t>
      </w:r>
    </w:p>
    <w:p>
      <w:pPr>
        <w:spacing w:after="160" w:before="0"/>
      </w:pPr>
      <w:r>
        <w:rPr>
          <w:rFonts w:ascii="Calibri" w:hAnsi="Calibri" w:eastAsia="Calibri"/>
          <w:b/>
          <w:i w:val="0"/>
          <w:color w:val="17384B"/>
          <w:sz w:val="28"/>
        </w:rPr>
        <w:t>1. Part A: Completed student planning sheet exemplar</w:t>
      </w:r>
    </w:p>
    <w:tbl>
      <w:tblPr>
        <w:tblStyle w:val="TableGrid"/>
        <w:tblW w:type="auto" w:w="0"/>
        <w:jc w:val="center"/>
        <w:tblLook w:firstColumn="1" w:firstRow="1" w:lastColumn="0" w:lastRow="0" w:noHBand="0" w:noVBand="1" w:val="04A0"/>
      </w:tblPr>
      <w:tblGrid>
        <w:gridCol w:w="5100"/>
        <w:gridCol w:w="5100"/>
      </w:tblGrid>
      <w:tr>
        <w:tc>
          <w:tcPr>
            <w:tcW w:type="dxa" w:w="3118"/>
            <w:shd w:fill="17384B" w:val="clear"/>
          </w:tcPr>
          <w:p>
            <w:pPr>
              <w:spacing w:after="40"/>
            </w:pPr>
            <w:r/>
            <w:r>
              <w:rPr>
                <w:rFonts w:ascii="Calibri" w:hAnsi="Calibri" w:eastAsia="Calibri"/>
                <w:b/>
                <w:i w:val="0"/>
                <w:color w:val="FFFFFF"/>
                <w:sz w:val="20"/>
              </w:rPr>
              <w:t>Planning category</w:t>
            </w:r>
          </w:p>
        </w:tc>
        <w:tc>
          <w:tcPr>
            <w:tcW w:type="dxa" w:w="6520"/>
            <w:shd w:fill="17384B" w:val="clear"/>
          </w:tcPr>
          <w:p>
            <w:pPr>
              <w:spacing w:after="40"/>
            </w:pPr>
            <w:r/>
            <w:r>
              <w:rPr>
                <w:rFonts w:ascii="Calibri" w:hAnsi="Calibri" w:eastAsia="Calibri"/>
                <w:b/>
                <w:i w:val="0"/>
                <w:color w:val="FFFFFF"/>
                <w:sz w:val="20"/>
              </w:rPr>
              <w:t>Exemplar student details</w:t>
            </w:r>
          </w:p>
        </w:tc>
      </w:tr>
      <w:tr>
        <w:tc>
          <w:tcPr>
            <w:tcW w:type="dxa" w:w="3118"/>
            <w:shd w:fill="F4F8F6" w:val="clear"/>
          </w:tcPr>
          <w:p>
            <w:pPr>
              <w:spacing w:after="40"/>
            </w:pPr>
            <w:r/>
            <w:r>
              <w:rPr>
                <w:rFonts w:ascii="Calibri" w:hAnsi="Calibri" w:eastAsia="Calibri"/>
                <w:b w:val="0"/>
                <w:i w:val="0"/>
                <w:color w:val="203541"/>
                <w:sz w:val="20"/>
              </w:rPr>
              <w:t>Topic</w:t>
            </w:r>
          </w:p>
        </w:tc>
        <w:tc>
          <w:tcPr>
            <w:tcW w:type="dxa" w:w="6520"/>
            <w:shd w:fill="F4F8F6" w:val="clear"/>
          </w:tcPr>
          <w:p>
            <w:pPr>
              <w:spacing w:after="40"/>
            </w:pPr>
            <w:r/>
            <w:r>
              <w:rPr>
                <w:rFonts w:ascii="Calibri" w:hAnsi="Calibri" w:eastAsia="Calibri"/>
                <w:b w:val="0"/>
                <w:i w:val="0"/>
                <w:color w:val="203541"/>
                <w:sz w:val="20"/>
              </w:rPr>
              <w:t>Approve one carefully planned Pet Learning Day at school.</w:t>
            </w:r>
          </w:p>
        </w:tc>
      </w:tr>
      <w:tr>
        <w:tc>
          <w:tcPr>
            <w:tcW w:type="dxa" w:w="3118"/>
            <w:shd w:fill="FFFFFF" w:val="clear"/>
          </w:tcPr>
          <w:p>
            <w:pPr>
              <w:spacing w:after="40"/>
            </w:pPr>
            <w:r/>
            <w:r>
              <w:rPr>
                <w:rFonts w:ascii="Calibri" w:hAnsi="Calibri" w:eastAsia="Calibri"/>
                <w:b w:val="0"/>
                <w:i w:val="0"/>
                <w:color w:val="203541"/>
                <w:sz w:val="20"/>
              </w:rPr>
              <w:t>Stance / Opinion</w:t>
            </w:r>
          </w:p>
        </w:tc>
        <w:tc>
          <w:tcPr>
            <w:tcW w:type="dxa" w:w="6520"/>
            <w:shd w:fill="FFFFFF" w:val="clear"/>
          </w:tcPr>
          <w:p>
            <w:pPr>
              <w:spacing w:after="40"/>
            </w:pPr>
            <w:r/>
            <w:r>
              <w:rPr>
                <w:rFonts w:ascii="Calibri" w:hAnsi="Calibri" w:eastAsia="Calibri"/>
                <w:b w:val="0"/>
                <w:i w:val="0"/>
                <w:color w:val="203541"/>
                <w:sz w:val="20"/>
              </w:rPr>
              <w:t>The principal should allow students to bring approved pets to school for a special Pet Learning Day.</w:t>
            </w:r>
          </w:p>
        </w:tc>
      </w:tr>
      <w:tr>
        <w:tc>
          <w:tcPr>
            <w:tcW w:type="dxa" w:w="3118"/>
            <w:shd w:fill="F4F8F6" w:val="clear"/>
          </w:tcPr>
          <w:p>
            <w:pPr>
              <w:spacing w:after="40"/>
            </w:pPr>
            <w:r/>
            <w:r>
              <w:rPr>
                <w:rFonts w:ascii="Calibri" w:hAnsi="Calibri" w:eastAsia="Calibri"/>
                <w:b w:val="0"/>
                <w:i w:val="0"/>
                <w:color w:val="203541"/>
                <w:sz w:val="20"/>
              </w:rPr>
              <w:t>Target audience</w:t>
            </w:r>
          </w:p>
        </w:tc>
        <w:tc>
          <w:tcPr>
            <w:tcW w:type="dxa" w:w="6520"/>
            <w:shd w:fill="F4F8F6" w:val="clear"/>
          </w:tcPr>
          <w:p>
            <w:pPr>
              <w:spacing w:after="40"/>
            </w:pPr>
            <w:r/>
            <w:r>
              <w:rPr>
                <w:rFonts w:ascii="Calibri" w:hAnsi="Calibri" w:eastAsia="Calibri"/>
                <w:b w:val="0"/>
                <w:i w:val="0"/>
                <w:color w:val="203541"/>
                <w:sz w:val="20"/>
              </w:rPr>
              <w:t>The school principal, who must protect students and animals.</w:t>
            </w:r>
          </w:p>
        </w:tc>
      </w:tr>
      <w:tr>
        <w:tc>
          <w:tcPr>
            <w:tcW w:type="dxa" w:w="3118"/>
            <w:shd w:fill="FFFFFF" w:val="clear"/>
          </w:tcPr>
          <w:p>
            <w:pPr>
              <w:spacing w:after="40"/>
            </w:pPr>
            <w:r/>
            <w:r>
              <w:rPr>
                <w:rFonts w:ascii="Calibri" w:hAnsi="Calibri" w:eastAsia="Calibri"/>
                <w:b w:val="0"/>
                <w:i w:val="0"/>
                <w:color w:val="203541"/>
                <w:sz w:val="20"/>
              </w:rPr>
              <w:t>Formality &amp; tone</w:t>
            </w:r>
          </w:p>
        </w:tc>
        <w:tc>
          <w:tcPr>
            <w:tcW w:type="dxa" w:w="6520"/>
            <w:shd w:fill="FFFFFF" w:val="clear"/>
          </w:tcPr>
          <w:p>
            <w:pPr>
              <w:spacing w:after="40"/>
            </w:pPr>
            <w:r/>
            <w:r>
              <w:rPr>
                <w:rFonts w:ascii="Calibri" w:hAnsi="Calibri" w:eastAsia="Calibri"/>
                <w:b w:val="0"/>
                <w:i w:val="0"/>
                <w:color w:val="203541"/>
                <w:sz w:val="20"/>
              </w:rPr>
              <w:t>Respectful, clear, practical and evidence-based.</w:t>
            </w:r>
          </w:p>
        </w:tc>
      </w:tr>
      <w:tr>
        <w:tc>
          <w:tcPr>
            <w:tcW w:type="dxa" w:w="3118"/>
            <w:shd w:fill="F4F8F6" w:val="clear"/>
          </w:tcPr>
          <w:p>
            <w:pPr>
              <w:spacing w:after="40"/>
            </w:pPr>
            <w:r/>
            <w:r>
              <w:rPr>
                <w:rFonts w:ascii="Calibri" w:hAnsi="Calibri" w:eastAsia="Calibri"/>
                <w:b w:val="0"/>
                <w:i w:val="0"/>
                <w:color w:val="203541"/>
                <w:sz w:val="20"/>
              </w:rPr>
              <w:t>Hook strategy</w:t>
            </w:r>
          </w:p>
        </w:tc>
        <w:tc>
          <w:tcPr>
            <w:tcW w:type="dxa" w:w="6520"/>
            <w:shd w:fill="F4F8F6" w:val="clear"/>
          </w:tcPr>
          <w:p>
            <w:pPr>
              <w:spacing w:after="40"/>
            </w:pPr>
            <w:r/>
            <w:r>
              <w:rPr>
                <w:rFonts w:ascii="Calibri" w:hAnsi="Calibri" w:eastAsia="Calibri"/>
                <w:b w:val="0"/>
                <w:i w:val="0"/>
                <w:color w:val="203541"/>
                <w:sz w:val="20"/>
              </w:rPr>
              <w:t>A calm picture of approved pets ready for learning, not a chaotic free-for-all.</w:t>
            </w:r>
          </w:p>
        </w:tc>
      </w:tr>
      <w:tr>
        <w:tc>
          <w:tcPr>
            <w:tcW w:type="dxa" w:w="3118"/>
            <w:shd w:fill="FFFFFF" w:val="clear"/>
          </w:tcPr>
          <w:p>
            <w:pPr>
              <w:spacing w:after="40"/>
            </w:pPr>
            <w:r/>
            <w:r>
              <w:rPr>
                <w:rFonts w:ascii="Calibri" w:hAnsi="Calibri" w:eastAsia="Calibri"/>
                <w:b w:val="0"/>
                <w:i w:val="0"/>
                <w:color w:val="203541"/>
                <w:sz w:val="20"/>
              </w:rPr>
              <w:t>Reason 1 (Responsibility)</w:t>
            </w:r>
          </w:p>
        </w:tc>
        <w:tc>
          <w:tcPr>
            <w:tcW w:type="dxa" w:w="6520"/>
            <w:shd w:fill="FFFFFF" w:val="clear"/>
          </w:tcPr>
          <w:p>
            <w:pPr>
              <w:spacing w:after="40"/>
            </w:pPr>
            <w:r/>
            <w:r>
              <w:rPr>
                <w:rFonts w:ascii="Calibri" w:hAnsi="Calibri" w:eastAsia="Calibri"/>
                <w:b w:val="0"/>
                <w:i w:val="0"/>
                <w:color w:val="203541"/>
                <w:sz w:val="20"/>
              </w:rPr>
              <w:t>Students prepare information cards about food, needs and safety. Queensland Department of Education: schools have a duty of care and must protect animals from hunger, discomfort, pain and fear.</w:t>
            </w:r>
          </w:p>
        </w:tc>
      </w:tr>
      <w:tr>
        <w:tc>
          <w:tcPr>
            <w:tcW w:type="dxa" w:w="3118"/>
            <w:shd w:fill="F4F8F6" w:val="clear"/>
          </w:tcPr>
          <w:p>
            <w:pPr>
              <w:spacing w:after="40"/>
            </w:pPr>
            <w:r/>
            <w:r>
              <w:rPr>
                <w:rFonts w:ascii="Calibri" w:hAnsi="Calibri" w:eastAsia="Calibri"/>
                <w:b w:val="0"/>
                <w:i w:val="0"/>
                <w:color w:val="203541"/>
                <w:sz w:val="20"/>
              </w:rPr>
              <w:t>Reason 2 (Memorable learning)</w:t>
            </w:r>
          </w:p>
        </w:tc>
        <w:tc>
          <w:tcPr>
            <w:tcW w:type="dxa" w:w="6520"/>
            <w:shd w:fill="F4F8F6" w:val="clear"/>
          </w:tcPr>
          <w:p>
            <w:pPr>
              <w:spacing w:after="40"/>
            </w:pPr>
            <w:r/>
            <w:r>
              <w:rPr>
                <w:rFonts w:ascii="Calibri" w:hAnsi="Calibri" w:eastAsia="Calibri"/>
                <w:b w:val="0"/>
                <w:i w:val="0"/>
                <w:color w:val="203541"/>
                <w:sz w:val="20"/>
              </w:rPr>
              <w:t>Students observe an approved pet, explain a feature, answer questions and the class learns a new detail about living things.</w:t>
            </w:r>
          </w:p>
        </w:tc>
      </w:tr>
      <w:tr>
        <w:tc>
          <w:tcPr>
            <w:tcW w:type="dxa" w:w="3118"/>
            <w:shd w:fill="FFFFFF" w:val="clear"/>
          </w:tcPr>
          <w:p>
            <w:pPr>
              <w:spacing w:after="40"/>
            </w:pPr>
            <w:r/>
            <w:r>
              <w:rPr>
                <w:rFonts w:ascii="Calibri" w:hAnsi="Calibri" w:eastAsia="Calibri"/>
                <w:b w:val="0"/>
                <w:i w:val="0"/>
                <w:color w:val="203541"/>
                <w:sz w:val="20"/>
              </w:rPr>
              <w:t>Fair concern &amp; response</w:t>
            </w:r>
          </w:p>
        </w:tc>
        <w:tc>
          <w:tcPr>
            <w:tcW w:type="dxa" w:w="6520"/>
            <w:shd w:fill="FFFFFF" w:val="clear"/>
          </w:tcPr>
          <w:p>
            <w:pPr>
              <w:spacing w:after="40"/>
            </w:pPr>
            <w:r/>
            <w:r>
              <w:rPr>
                <w:rFonts w:ascii="Calibri" w:hAnsi="Calibri" w:eastAsia="Calibri"/>
                <w:b w:val="0"/>
                <w:i w:val="0"/>
                <w:color w:val="203541"/>
                <w:sz w:val="20"/>
              </w:rPr>
              <w:t>Concern: allergies, bites, mess and frightened animals. Response: approve pets first, require an adult handler, provide a no-contact area, wash hands, send stressed animals home. Queensland guidance requires risk planning, hygiene and principal approval for classroom dog visits.</w:t>
            </w:r>
          </w:p>
        </w:tc>
      </w:tr>
      <w:tr>
        <w:tc>
          <w:tcPr>
            <w:tcW w:type="dxa" w:w="3118"/>
            <w:shd w:fill="F4F8F6" w:val="clear"/>
          </w:tcPr>
          <w:p>
            <w:pPr>
              <w:spacing w:after="40"/>
            </w:pPr>
            <w:r/>
            <w:r>
              <w:rPr>
                <w:rFonts w:ascii="Calibri" w:hAnsi="Calibri" w:eastAsia="Calibri"/>
                <w:b w:val="0"/>
                <w:i w:val="0"/>
                <w:color w:val="203541"/>
                <w:sz w:val="20"/>
              </w:rPr>
              <w:t>Persuasive devices</w:t>
            </w:r>
          </w:p>
        </w:tc>
        <w:tc>
          <w:tcPr>
            <w:tcW w:type="dxa" w:w="6520"/>
            <w:shd w:fill="F4F8F6" w:val="clear"/>
          </w:tcPr>
          <w:p>
            <w:pPr>
              <w:spacing w:after="40"/>
            </w:pPr>
            <w:r/>
            <w:r>
              <w:rPr>
                <w:rFonts w:ascii="Calibri" w:hAnsi="Calibri" w:eastAsia="Calibri"/>
                <w:b w:val="0"/>
                <w:i w:val="0"/>
                <w:color w:val="203541"/>
                <w:sz w:val="20"/>
              </w:rPr>
              <w:t>Sensory hook, high-modality should/must, named official source, rhetorical question, however-rebuttal, specific trial-day request.</w:t>
            </w:r>
          </w:p>
        </w:tc>
      </w:tr>
      <w:tr>
        <w:tc>
          <w:tcPr>
            <w:tcW w:type="dxa" w:w="3118"/>
            <w:shd w:fill="FFFFFF" w:val="clear"/>
          </w:tcPr>
          <w:p>
            <w:pPr>
              <w:spacing w:after="40"/>
            </w:pPr>
            <w:r/>
            <w:r>
              <w:rPr>
                <w:rFonts w:ascii="Calibri" w:hAnsi="Calibri" w:eastAsia="Calibri"/>
                <w:b w:val="0"/>
                <w:i w:val="0"/>
                <w:color w:val="203541"/>
                <w:sz w:val="20"/>
              </w:rPr>
              <w:t>Call to action</w:t>
            </w:r>
          </w:p>
        </w:tc>
        <w:tc>
          <w:tcPr>
            <w:tcW w:type="dxa" w:w="6520"/>
            <w:shd w:fill="FFFFFF" w:val="clear"/>
          </w:tcPr>
          <w:p>
            <w:pPr>
              <w:spacing w:after="40"/>
            </w:pPr>
            <w:r/>
            <w:r>
              <w:rPr>
                <w:rFonts w:ascii="Calibri" w:hAnsi="Calibri" w:eastAsia="Calibri"/>
                <w:b w:val="0"/>
                <w:i w:val="0"/>
                <w:color w:val="203541"/>
                <w:sz w:val="20"/>
              </w:rPr>
              <w:t>Please give us one trial day so we can show that paws, claws and fins can belong in learning.</w:t>
            </w:r>
          </w:p>
        </w:tc>
      </w:tr>
    </w:tbl>
    <w:p>
      <w:pPr>
        <w:spacing w:after="160" w:before="0"/>
      </w:pPr>
      <w:r>
        <w:rPr>
          <w:rFonts w:ascii="Calibri" w:hAnsi="Calibri" w:eastAsia="Calibri"/>
          <w:b w:val="0"/>
          <w:i w:val="0"/>
          <w:color w:val="203541"/>
          <w:sz w:val="22"/>
        </w:rPr>
      </w:r>
    </w:p>
    <w:p>
      <w:pPr>
        <w:spacing w:after="120" w:before="0"/>
      </w:pPr>
      <w:r>
        <w:rPr>
          <w:rFonts w:ascii="Calibri" w:hAnsi="Calibri" w:eastAsia="Calibri"/>
          <w:b/>
          <w:i w:val="0"/>
          <w:color w:val="17384B"/>
          <w:sz w:val="28"/>
        </w:rPr>
        <w:t>2. Part A: Written persuasive text</w:t>
      </w:r>
    </w:p>
    <w:p>
      <w:pPr>
        <w:spacing w:after="160" w:before="0"/>
      </w:pPr>
      <w:r>
        <w:rPr>
          <w:rFonts w:ascii="Calibri" w:hAnsi="Calibri" w:eastAsia="Calibri"/>
          <w:b/>
          <w:i w:val="0"/>
          <w:color w:val="17384B"/>
          <w:sz w:val="26"/>
        </w:rPr>
        <w:t>Paws at School: Let Us Hold a Pet Learning Day</w:t>
      </w:r>
    </w:p>
    <w:p>
      <w:pPr>
        <w:spacing w:after="200" w:before="0"/>
      </w:pPr>
      <w:r>
        <w:rPr>
          <w:rFonts w:ascii="Calibri" w:hAnsi="Calibri" w:eastAsia="Calibri"/>
          <w:b w:val="0"/>
          <w:i w:val="0"/>
          <w:color w:val="203541"/>
          <w:sz w:val="22"/>
        </w:rPr>
        <w:t>Imagine walking into school and seeing a calm dog beside its owner, a rabbit resting in a safe pen and a fish tank ready for observation. I believe our principal should allow students to bring approved pets to school for a special Pet Learning Day. With clear rules, pets could help us learn about care, responsibility and living things.</w:t>
      </w:r>
    </w:p>
    <w:p>
      <w:pPr>
        <w:spacing w:after="200" w:before="0"/>
      </w:pPr>
      <w:r>
        <w:rPr>
          <w:rFonts w:ascii="Calibri" w:hAnsi="Calibri" w:eastAsia="Calibri"/>
          <w:b w:val="0"/>
          <w:i w:val="0"/>
          <w:color w:val="203541"/>
          <w:sz w:val="22"/>
        </w:rPr>
        <w:t>First, a Pet Learning Day could teach us to care for animals. Students could prepare information cards about what their pet eats, needs and how to keep it safe. The Queensland Department of Education says schools have a duty of care and must protect animals from hunger, discomfort, pain and fear. This means the day would be a real lesson, not just playtime.</w:t>
      </w:r>
    </w:p>
    <w:p>
      <w:pPr>
        <w:spacing w:after="200" w:before="0"/>
      </w:pPr>
      <w:r>
        <w:rPr>
          <w:rFonts w:ascii="Calibri" w:hAnsi="Calibri" w:eastAsia="Calibri"/>
          <w:b w:val="0"/>
          <w:i w:val="0"/>
          <w:color w:val="203541"/>
          <w:sz w:val="22"/>
        </w:rPr>
        <w:t>Second, pets could make learning memorable and help students share knowledge. A student might explain how a bird uses its beak or how a guinea pig communicates. We could listen, ask questions and learn from one another. What better way to study living things than observing them carefully?</w:t>
      </w:r>
    </w:p>
    <w:p>
      <w:pPr>
        <w:spacing w:after="200" w:before="0"/>
      </w:pPr>
      <w:r>
        <w:rPr>
          <w:rFonts w:ascii="Calibri" w:hAnsi="Calibri" w:eastAsia="Calibri"/>
          <w:b w:val="0"/>
          <w:i w:val="0"/>
          <w:color w:val="203541"/>
          <w:sz w:val="22"/>
        </w:rPr>
        <w:t>Some people may worry about allergies, bites, mess or frightened animals. These are fair concerns. However, the school could approve pets before the day, require an adult handler, provide a no-contact area and make everyone wash their hands. Dangerous, sick or unsuitable pets would stay home, and any animal showing stress would leave immediately. Queensland guidance says animal activities need risk planning, safe handling, good hygiene and principal approval for classroom dog visits.</w:t>
      </w:r>
    </w:p>
    <w:p>
      <w:pPr>
        <w:spacing w:after="200" w:before="0"/>
      </w:pPr>
      <w:r>
        <w:rPr>
          <w:rFonts w:ascii="Calibri" w:hAnsi="Calibri" w:eastAsia="Calibri"/>
          <w:b w:val="0"/>
          <w:i w:val="0"/>
          <w:color w:val="203541"/>
          <w:sz w:val="22"/>
        </w:rPr>
        <w:t>In conclusion, our principal should allow a carefully planned Pet Learning Day. It would teach responsibility, make learning memorable and let students share knowledge. With strong safety and welfare rules, we can protect people and pets. Please give us one trial day and let us show that paws, claws and fins can belong in learning!</w:t>
      </w:r>
    </w:p>
    <w:p>
      <w:pPr>
        <w:spacing w:after="160" w:before="0"/>
      </w:pPr>
      <w:r>
        <w:rPr>
          <w:rFonts w:ascii="Calibri" w:hAnsi="Calibri" w:eastAsia="Calibri"/>
          <w:b/>
          <w:i w:val="0"/>
          <w:color w:val="17384B"/>
          <w:sz w:val="28"/>
        </w:rPr>
        <w:t>3. Why this meets the assessment criteria</w:t>
      </w:r>
    </w:p>
    <w:tbl>
      <w:tblPr>
        <w:tblStyle w:val="TableGrid"/>
        <w:tblW w:type="auto" w:w="0"/>
        <w:jc w:val="center"/>
        <w:tblLook w:firstColumn="1" w:firstRow="1" w:lastColumn="0" w:lastRow="0" w:noHBand="0" w:noVBand="1" w:val="04A0"/>
      </w:tblPr>
      <w:tblGrid>
        <w:gridCol w:w="3400"/>
        <w:gridCol w:w="3400"/>
        <w:gridCol w:w="3400"/>
      </w:tblGrid>
      <w:tr>
        <w:tc>
          <w:tcPr>
            <w:tcW w:type="dxa" w:w="2381"/>
            <w:shd w:fill="17384B" w:val="clear"/>
          </w:tcPr>
          <w:p>
            <w:pPr>
              <w:spacing w:after="40"/>
            </w:pPr>
            <w:r/>
            <w:r>
              <w:rPr>
                <w:rFonts w:ascii="Calibri" w:hAnsi="Calibri" w:eastAsia="Calibri"/>
                <w:b/>
                <w:i w:val="0"/>
                <w:color w:val="FFFFFF"/>
                <w:sz w:val="20"/>
              </w:rPr>
              <w:t>Criterion area</w:t>
            </w:r>
          </w:p>
        </w:tc>
        <w:tc>
          <w:tcPr>
            <w:tcW w:type="dxa" w:w="4139"/>
            <w:shd w:fill="17384B" w:val="clear"/>
          </w:tcPr>
          <w:p>
            <w:pPr>
              <w:spacing w:after="40"/>
            </w:pPr>
            <w:r/>
            <w:r>
              <w:rPr>
                <w:rFonts w:ascii="Calibri" w:hAnsi="Calibri" w:eastAsia="Calibri"/>
                <w:b/>
                <w:i w:val="0"/>
                <w:color w:val="FFFFFF"/>
                <w:sz w:val="20"/>
              </w:rPr>
              <w:t>Evidence in exemplar text</w:t>
            </w:r>
          </w:p>
        </w:tc>
        <w:tc>
          <w:tcPr>
            <w:tcW w:type="dxa" w:w="3118"/>
            <w:shd w:fill="17384B" w:val="clear"/>
          </w:tcPr>
          <w:p>
            <w:pPr>
              <w:spacing w:after="40"/>
            </w:pPr>
            <w:r/>
            <w:r>
              <w:rPr>
                <w:rFonts w:ascii="Calibri" w:hAnsi="Calibri" w:eastAsia="Calibri"/>
                <w:b/>
                <w:i w:val="0"/>
                <w:color w:val="FFFFFF"/>
                <w:sz w:val="20"/>
              </w:rPr>
              <w:t>AC v9 alignment</w:t>
            </w:r>
          </w:p>
        </w:tc>
      </w:tr>
      <w:tr>
        <w:tc>
          <w:tcPr>
            <w:tcW w:type="dxa" w:w="2381"/>
            <w:shd w:fill="F4F8F6" w:val="clear"/>
          </w:tcPr>
          <w:p>
            <w:pPr>
              <w:spacing w:after="40"/>
            </w:pPr>
            <w:r/>
            <w:r>
              <w:rPr>
                <w:rFonts w:ascii="Calibri" w:hAnsi="Calibri" w:eastAsia="Calibri"/>
                <w:b w:val="0"/>
                <w:i w:val="0"/>
                <w:color w:val="203541"/>
                <w:sz w:val="20"/>
              </w:rPr>
              <w:t>Text structure &amp; paragraphing</w:t>
            </w:r>
          </w:p>
        </w:tc>
        <w:tc>
          <w:tcPr>
            <w:tcW w:type="dxa" w:w="4139"/>
            <w:shd w:fill="F4F8F6" w:val="clear"/>
          </w:tcPr>
          <w:p>
            <w:pPr>
              <w:spacing w:after="40"/>
            </w:pPr>
            <w:r/>
            <w:r>
              <w:rPr>
                <w:rFonts w:ascii="Calibri" w:hAnsi="Calibri" w:eastAsia="Calibri"/>
                <w:b w:val="0"/>
                <w:i w:val="0"/>
                <w:color w:val="203541"/>
                <w:sz w:val="20"/>
              </w:rPr>
              <w:t>Introduction with hook, opinion and preview. Two reason paragraphs plus a fair-concern paragraph. Conclusion restates the opinion and asks for one trial day.</w:t>
            </w:r>
          </w:p>
        </w:tc>
        <w:tc>
          <w:tcPr>
            <w:tcW w:type="dxa" w:w="3118"/>
            <w:shd w:fill="F4F8F6" w:val="clear"/>
          </w:tcPr>
          <w:p>
            <w:pPr>
              <w:spacing w:after="40"/>
            </w:pPr>
            <w:r/>
            <w:r>
              <w:rPr>
                <w:rFonts w:ascii="Calibri" w:hAnsi="Calibri" w:eastAsia="Calibri"/>
                <w:b w:val="0"/>
                <w:i w:val="0"/>
                <w:color w:val="203541"/>
                <w:sz w:val="20"/>
              </w:rPr>
              <w:t>AC9E5LA03 / AC9E6LA03 — structured paragraphs and cohesive devices (first, second, however, in conclusion).</w:t>
            </w:r>
          </w:p>
        </w:tc>
      </w:tr>
      <w:tr>
        <w:tc>
          <w:tcPr>
            <w:tcW w:type="dxa" w:w="2381"/>
            <w:shd w:fill="FFFFFF" w:val="clear"/>
          </w:tcPr>
          <w:p>
            <w:pPr>
              <w:spacing w:after="40"/>
            </w:pPr>
            <w:r/>
            <w:r>
              <w:rPr>
                <w:rFonts w:ascii="Calibri" w:hAnsi="Calibri" w:eastAsia="Calibri"/>
                <w:b w:val="0"/>
                <w:i w:val="0"/>
                <w:color w:val="203541"/>
                <w:sz w:val="20"/>
              </w:rPr>
              <w:t>Ideas &amp; supporting detail</w:t>
            </w:r>
          </w:p>
        </w:tc>
        <w:tc>
          <w:tcPr>
            <w:tcW w:type="dxa" w:w="4139"/>
            <w:shd w:fill="FFFFFF" w:val="clear"/>
          </w:tcPr>
          <w:p>
            <w:pPr>
              <w:spacing w:after="40"/>
            </w:pPr>
            <w:r/>
            <w:r>
              <w:rPr>
                <w:rFonts w:ascii="Calibri" w:hAnsi="Calibri" w:eastAsia="Calibri"/>
                <w:b w:val="0"/>
                <w:i w:val="0"/>
                <w:color w:val="203541"/>
                <w:sz w:val="20"/>
              </w:rPr>
              <w:t>Named Queensland Department of Education duty-of-care guidance. Classroom-visit rules: approval, handler, hygiene, stress removal. Learning chain: observe, explain, ask, learn.</w:t>
            </w:r>
          </w:p>
        </w:tc>
        <w:tc>
          <w:tcPr>
            <w:tcW w:type="dxa" w:w="3118"/>
            <w:shd w:fill="FFFFFF" w:val="clear"/>
          </w:tcPr>
          <w:p>
            <w:pPr>
              <w:spacing w:after="40"/>
            </w:pPr>
            <w:r/>
            <w:r>
              <w:rPr>
                <w:rFonts w:ascii="Calibri" w:hAnsi="Calibri" w:eastAsia="Calibri"/>
                <w:b w:val="0"/>
                <w:i w:val="0"/>
                <w:color w:val="203541"/>
                <w:sz w:val="20"/>
              </w:rPr>
              <w:t>AC9E5LY06 / AC9E6LY06 — ideas expanded with relevant supporting details from an authoritative source.</w:t>
            </w:r>
          </w:p>
        </w:tc>
      </w:tr>
      <w:tr>
        <w:tc>
          <w:tcPr>
            <w:tcW w:type="dxa" w:w="2381"/>
            <w:shd w:fill="F4F8F6" w:val="clear"/>
          </w:tcPr>
          <w:p>
            <w:pPr>
              <w:spacing w:after="40"/>
            </w:pPr>
            <w:r/>
            <w:r>
              <w:rPr>
                <w:rFonts w:ascii="Calibri" w:hAnsi="Calibri" w:eastAsia="Calibri"/>
                <w:b w:val="0"/>
                <w:i w:val="0"/>
                <w:color w:val="203541"/>
                <w:sz w:val="20"/>
              </w:rPr>
              <w:t>Language features</w:t>
            </w:r>
          </w:p>
        </w:tc>
        <w:tc>
          <w:tcPr>
            <w:tcW w:type="dxa" w:w="4139"/>
            <w:shd w:fill="F4F8F6" w:val="clear"/>
          </w:tcPr>
          <w:p>
            <w:pPr>
              <w:spacing w:after="40"/>
            </w:pPr>
            <w:r/>
            <w:r>
              <w:rPr>
                <w:rFonts w:ascii="Calibri" w:hAnsi="Calibri" w:eastAsia="Calibri"/>
                <w:b w:val="0"/>
                <w:i w:val="0"/>
                <w:color w:val="203541"/>
                <w:sz w:val="20"/>
              </w:rPr>
              <w:t>Modal verbs (should, must, could). Causal links (this means, however). Concrete noun groups (approved pets, no-contact area, adult handler).</w:t>
            </w:r>
          </w:p>
        </w:tc>
        <w:tc>
          <w:tcPr>
            <w:tcW w:type="dxa" w:w="3118"/>
            <w:shd w:fill="F4F8F6" w:val="clear"/>
          </w:tcPr>
          <w:p>
            <w:pPr>
              <w:spacing w:after="40"/>
            </w:pPr>
            <w:r/>
            <w:r>
              <w:rPr>
                <w:rFonts w:ascii="Calibri" w:hAnsi="Calibri" w:eastAsia="Calibri"/>
                <w:b w:val="0"/>
                <w:i w:val="0"/>
                <w:color w:val="203541"/>
                <w:sz w:val="20"/>
              </w:rPr>
              <w:t>AC9E5LA08 / AC9E6LA08 — modality, expanded noun groups and linking devices.</w:t>
            </w:r>
          </w:p>
        </w:tc>
      </w:tr>
      <w:tr>
        <w:tc>
          <w:tcPr>
            <w:tcW w:type="dxa" w:w="2381"/>
            <w:shd w:fill="FFFFFF" w:val="clear"/>
          </w:tcPr>
          <w:p>
            <w:pPr>
              <w:spacing w:after="40"/>
            </w:pPr>
            <w:r/>
            <w:r>
              <w:rPr>
                <w:rFonts w:ascii="Calibri" w:hAnsi="Calibri" w:eastAsia="Calibri"/>
                <w:b w:val="0"/>
                <w:i w:val="0"/>
                <w:color w:val="203541"/>
                <w:sz w:val="20"/>
              </w:rPr>
              <w:t>Persuasive devices</w:t>
            </w:r>
          </w:p>
        </w:tc>
        <w:tc>
          <w:tcPr>
            <w:tcW w:type="dxa" w:w="4139"/>
            <w:shd w:fill="FFFFFF" w:val="clear"/>
          </w:tcPr>
          <w:p>
            <w:pPr>
              <w:spacing w:after="40"/>
            </w:pPr>
            <w:r/>
            <w:r>
              <w:rPr>
                <w:rFonts w:ascii="Calibri" w:hAnsi="Calibri" w:eastAsia="Calibri"/>
                <w:b w:val="0"/>
                <w:i w:val="0"/>
                <w:color w:val="203541"/>
                <w:sz w:val="20"/>
              </w:rPr>
              <w:t>Sensory hook, rhetorical question, fair concern + workable rule, specific call to action the principal can approve.</w:t>
            </w:r>
          </w:p>
        </w:tc>
        <w:tc>
          <w:tcPr>
            <w:tcW w:type="dxa" w:w="3118"/>
            <w:shd w:fill="FFFFFF" w:val="clear"/>
          </w:tcPr>
          <w:p>
            <w:pPr>
              <w:spacing w:after="40"/>
            </w:pPr>
            <w:r/>
            <w:r>
              <w:rPr>
                <w:rFonts w:ascii="Calibri" w:hAnsi="Calibri" w:eastAsia="Calibri"/>
                <w:b w:val="0"/>
                <w:i w:val="0"/>
                <w:color w:val="203541"/>
                <w:sz w:val="20"/>
              </w:rPr>
              <w:t>AC9E5LY07 / AC9E6LY07 — persuasive devices chosen for a real audience decision.</w:t>
            </w:r>
          </w:p>
        </w:tc>
      </w:tr>
      <w:tr>
        <w:tc>
          <w:tcPr>
            <w:tcW w:type="dxa" w:w="2381"/>
            <w:shd w:fill="F4F8F6" w:val="clear"/>
          </w:tcPr>
          <w:p>
            <w:pPr>
              <w:spacing w:after="40"/>
            </w:pPr>
            <w:r/>
            <w:r>
              <w:rPr>
                <w:rFonts w:ascii="Calibri" w:hAnsi="Calibri" w:eastAsia="Calibri"/>
                <w:b w:val="0"/>
                <w:i w:val="0"/>
                <w:color w:val="203541"/>
                <w:sz w:val="20"/>
              </w:rPr>
              <w:t>Vocabulary &amp; spelling</w:t>
            </w:r>
          </w:p>
        </w:tc>
        <w:tc>
          <w:tcPr>
            <w:tcW w:type="dxa" w:w="4139"/>
            <w:shd w:fill="F4F8F6" w:val="clear"/>
          </w:tcPr>
          <w:p>
            <w:pPr>
              <w:spacing w:after="40"/>
            </w:pPr>
            <w:r/>
            <w:r>
              <w:rPr>
                <w:rFonts w:ascii="Calibri" w:hAnsi="Calibri" w:eastAsia="Calibri"/>
                <w:b w:val="0"/>
                <w:i w:val="0"/>
                <w:color w:val="203541"/>
                <w:sz w:val="20"/>
              </w:rPr>
              <w:t>Topic vocabulary: duty of care, hygiene, handler, trial day, animal welfare. Australian English spelling.</w:t>
            </w:r>
          </w:p>
        </w:tc>
        <w:tc>
          <w:tcPr>
            <w:tcW w:type="dxa" w:w="3118"/>
            <w:shd w:fill="F4F8F6" w:val="clear"/>
          </w:tcPr>
          <w:p>
            <w:pPr>
              <w:spacing w:after="40"/>
            </w:pPr>
            <w:r/>
            <w:r>
              <w:rPr>
                <w:rFonts w:ascii="Calibri" w:hAnsi="Calibri" w:eastAsia="Calibri"/>
                <w:b w:val="0"/>
                <w:i w:val="0"/>
                <w:color w:val="203541"/>
                <w:sz w:val="20"/>
              </w:rPr>
              <w:t>AC9E5LY08 / AC9E6LY08 — accurate topic vocabulary and spelling.</w:t>
            </w:r>
          </w:p>
        </w:tc>
      </w:tr>
    </w:tbl>
    <w:p>
      <w:pPr>
        <w:spacing w:after="160" w:before="0"/>
      </w:pPr>
      <w:r>
        <w:rPr>
          <w:rFonts w:ascii="Calibri" w:hAnsi="Calibri" w:eastAsia="Calibri"/>
          <w:b w:val="0"/>
          <w:i w:val="0"/>
          <w:color w:val="203541"/>
          <w:sz w:val="22"/>
        </w:rPr>
      </w:r>
    </w:p>
    <w:p>
      <w:pPr>
        <w:spacing w:after="120" w:before="0"/>
      </w:pPr>
      <w:r>
        <w:rPr>
          <w:rFonts w:ascii="Calibri" w:hAnsi="Calibri" w:eastAsia="Calibri"/>
          <w:b/>
          <w:i w:val="0"/>
          <w:color w:val="17384B"/>
          <w:sz w:val="28"/>
        </w:rPr>
        <w:t>4. Part B: Speaking and listening presentation transcript</w:t>
      </w:r>
    </w:p>
    <w:p>
      <w:pPr>
        <w:spacing w:after="160" w:before="0"/>
      </w:pPr>
      <w:r>
        <w:rPr>
          <w:rFonts w:ascii="Calibri" w:hAnsi="Calibri" w:eastAsia="Calibri"/>
          <w:b w:val="0"/>
          <w:i w:val="0"/>
          <w:color w:val="203541"/>
          <w:sz w:val="22"/>
        </w:rPr>
        <w:t>Use this annotated excerpt to practise a 30–45 second section. Voice choices should make the request clearer, not louder for its own sake.</w:t>
      </w:r>
    </w:p>
    <w:p>
      <w:pPr>
        <w:spacing w:after="120" w:before="0"/>
      </w:pPr>
      <w:r>
        <w:rPr>
          <w:rFonts w:ascii="Calibri" w:hAnsi="Calibri" w:eastAsia="Calibri"/>
          <w:b/>
          <w:i w:val="0"/>
          <w:color w:val="17384B"/>
          <w:sz w:val="24"/>
        </w:rPr>
        <w:t>Annotated speech excerpt (suggested time: 30–45 seconds)</w:t>
      </w:r>
    </w:p>
    <w:p>
      <w:pPr>
        <w:spacing w:after="60" w:before="0"/>
      </w:pPr>
      <w:r>
        <w:rPr>
          <w:rFonts w:ascii="Calibri" w:hAnsi="Calibri" w:eastAsia="Calibri"/>
          <w:b/>
          <w:i/>
          <w:color w:val="D96C4C"/>
          <w:sz w:val="22"/>
        </w:rPr>
        <w:t>[LOOK AT THE PRINCIPAL · WARM TONE]</w:t>
      </w:r>
    </w:p>
    <w:p>
      <w:pPr>
        <w:spacing w:after="60" w:before="0"/>
      </w:pPr>
      <w:r>
        <w:rPr>
          <w:rFonts w:ascii="Calibri" w:hAnsi="Calibri" w:eastAsia="Calibri"/>
          <w:b w:val="0"/>
          <w:i w:val="0"/>
          <w:color w:val="203541"/>
          <w:sz w:val="22"/>
        </w:rPr>
        <w:t>Imagine walking into school and seeing calm, approved pets ready for learning.</w:t>
      </w:r>
    </w:p>
    <w:p>
      <w:pPr>
        <w:spacing w:after="60" w:before="0"/>
      </w:pPr>
      <w:r>
        <w:rPr>
          <w:rFonts w:ascii="Calibri" w:hAnsi="Calibri" w:eastAsia="Calibri"/>
          <w:b/>
          <w:i/>
          <w:color w:val="D96C4C"/>
          <w:sz w:val="22"/>
        </w:rPr>
        <w:t>[PAUSE · FIRM VOICE · EMPHASISE THE REQUEST]</w:t>
      </w:r>
    </w:p>
    <w:p>
      <w:pPr>
        <w:spacing w:after="60" w:before="0"/>
      </w:pPr>
      <w:r>
        <w:rPr>
          <w:rFonts w:ascii="Calibri" w:hAnsi="Calibri" w:eastAsia="Calibri"/>
          <w:b w:val="0"/>
          <w:i w:val="0"/>
          <w:color w:val="203541"/>
          <w:sz w:val="22"/>
        </w:rPr>
        <w:t>Our principal should allow one carefully planned Pet Learning Day.</w:t>
      </w:r>
    </w:p>
    <w:p>
      <w:pPr>
        <w:spacing w:after="60" w:before="0"/>
      </w:pPr>
      <w:r>
        <w:rPr>
          <w:rFonts w:ascii="Calibri" w:hAnsi="Calibri" w:eastAsia="Calibri"/>
          <w:b/>
          <w:i/>
          <w:color w:val="D96C4C"/>
          <w:sz w:val="22"/>
        </w:rPr>
        <w:t>[SLOW DOWN]</w:t>
      </w:r>
    </w:p>
    <w:p>
      <w:pPr>
        <w:spacing w:after="60" w:before="0"/>
      </w:pPr>
      <w:r>
        <w:rPr>
          <w:rFonts w:ascii="Calibri" w:hAnsi="Calibri" w:eastAsia="Calibri"/>
          <w:b w:val="0"/>
          <w:i w:val="0"/>
          <w:color w:val="203541"/>
          <w:sz w:val="22"/>
        </w:rPr>
        <w:t>With clear rules, we can protect people and pets.</w:t>
      </w:r>
    </w:p>
    <w:p>
      <w:pPr>
        <w:spacing w:after="60" w:before="0"/>
      </w:pPr>
      <w:r>
        <w:rPr>
          <w:rFonts w:ascii="Calibri" w:hAnsi="Calibri" w:eastAsia="Calibri"/>
          <w:b/>
          <w:i/>
          <w:color w:val="D96C4C"/>
          <w:sz w:val="22"/>
        </w:rPr>
        <w:t>[DIRECT EYE CONTACT · SPECIFIC ACTION]</w:t>
      </w:r>
    </w:p>
    <w:p>
      <w:pPr>
        <w:spacing w:after="60" w:before="0"/>
      </w:pPr>
      <w:r>
        <w:rPr>
          <w:rFonts w:ascii="Calibri" w:hAnsi="Calibri" w:eastAsia="Calibri"/>
          <w:b w:val="0"/>
          <w:i w:val="0"/>
          <w:color w:val="203541"/>
          <w:sz w:val="22"/>
        </w:rPr>
        <w:t>Please give us one trial day.</w:t>
      </w:r>
    </w:p>
    <w:p>
      <w:pPr>
        <w:spacing w:after="160" w:before="0"/>
      </w:pPr>
      <w:r>
        <w:rPr>
          <w:rFonts w:ascii="Calibri" w:hAnsi="Calibri" w:eastAsia="Calibri"/>
          <w:b w:val="0"/>
          <w:i w:val="0"/>
          <w:color w:val="203541"/>
          <w:sz w:val="22"/>
        </w:rPr>
      </w:r>
    </w:p>
    <w:p>
      <w:pPr>
        <w:spacing w:after="160" w:before="0"/>
      </w:pPr>
      <w:r>
        <w:rPr>
          <w:rFonts w:ascii="Calibri" w:hAnsi="Calibri" w:eastAsia="Calibri"/>
          <w:b/>
          <w:i w:val="0"/>
          <w:color w:val="17384B"/>
          <w:sz w:val="28"/>
        </w:rPr>
        <w:t>5. Teacher marking guide and formative feedback</w:t>
      </w:r>
    </w:p>
    <w:tbl>
      <w:tblPr>
        <w:tblStyle w:val="TableGrid"/>
        <w:tblW w:type="auto" w:w="0"/>
        <w:jc w:val="center"/>
        <w:tblLook w:firstColumn="1" w:firstRow="1" w:lastColumn="0" w:lastRow="0" w:noHBand="0" w:noVBand="1" w:val="04A0"/>
      </w:tblPr>
      <w:tblGrid>
        <w:gridCol w:w="3400"/>
        <w:gridCol w:w="3400"/>
        <w:gridCol w:w="3400"/>
      </w:tblGrid>
      <w:tr>
        <w:tc>
          <w:tcPr>
            <w:tcW w:type="dxa" w:w="2494"/>
            <w:shd w:fill="17384B" w:val="clear"/>
          </w:tcPr>
          <w:p>
            <w:pPr>
              <w:spacing w:after="40"/>
            </w:pPr>
            <w:r/>
            <w:r>
              <w:rPr>
                <w:rFonts w:ascii="Calibri" w:hAnsi="Calibri" w:eastAsia="Calibri"/>
                <w:b/>
                <w:i w:val="0"/>
                <w:color w:val="FFFFFF"/>
                <w:sz w:val="20"/>
              </w:rPr>
              <w:t>Assessment aspect</w:t>
            </w:r>
          </w:p>
        </w:tc>
        <w:tc>
          <w:tcPr>
            <w:tcW w:type="dxa" w:w="4762"/>
            <w:shd w:fill="17384B" w:val="clear"/>
          </w:tcPr>
          <w:p>
            <w:pPr>
              <w:spacing w:after="40"/>
            </w:pPr>
            <w:r/>
            <w:r>
              <w:rPr>
                <w:rFonts w:ascii="Calibri" w:hAnsi="Calibri" w:eastAsia="Calibri"/>
                <w:b/>
                <w:i w:val="0"/>
                <w:color w:val="FFFFFF"/>
                <w:sz w:val="20"/>
              </w:rPr>
              <w:t>A-grade achievement description</w:t>
            </w:r>
          </w:p>
        </w:tc>
        <w:tc>
          <w:tcPr>
            <w:tcW w:type="dxa" w:w="2381"/>
            <w:shd w:fill="17384B" w:val="clear"/>
          </w:tcPr>
          <w:p>
            <w:pPr>
              <w:spacing w:after="40"/>
            </w:pPr>
            <w:r/>
            <w:r>
              <w:rPr>
                <w:rFonts w:ascii="Calibri" w:hAnsi="Calibri" w:eastAsia="Calibri"/>
                <w:b/>
                <w:i w:val="0"/>
                <w:color w:val="FFFFFF"/>
                <w:sz w:val="20"/>
              </w:rPr>
              <w:t>Exemplar result</w:t>
            </w:r>
          </w:p>
        </w:tc>
      </w:tr>
      <w:tr>
        <w:tc>
          <w:tcPr>
            <w:tcW w:type="dxa" w:w="2494"/>
            <w:shd w:fill="F4F8F6" w:val="clear"/>
          </w:tcPr>
          <w:p>
            <w:pPr>
              <w:spacing w:after="40"/>
            </w:pPr>
            <w:r/>
            <w:r>
              <w:rPr>
                <w:rFonts w:ascii="Calibri" w:hAnsi="Calibri" w:eastAsia="Calibri"/>
                <w:b w:val="0"/>
                <w:i w:val="0"/>
                <w:color w:val="203541"/>
                <w:sz w:val="20"/>
              </w:rPr>
              <w:t>Writing: text structure</w:t>
            </w:r>
          </w:p>
        </w:tc>
        <w:tc>
          <w:tcPr>
            <w:tcW w:type="dxa" w:w="4762"/>
            <w:shd w:fill="F4F8F6" w:val="clear"/>
          </w:tcPr>
          <w:p>
            <w:pPr>
              <w:spacing w:after="40"/>
            </w:pPr>
            <w:r/>
            <w:r>
              <w:rPr>
                <w:rFonts w:ascii="Calibri" w:hAnsi="Calibri" w:eastAsia="Calibri"/>
                <w:b w:val="0"/>
                <w:i w:val="0"/>
                <w:color w:val="203541"/>
                <w:sz w:val="20"/>
              </w:rPr>
              <w:t>Creates a sequenced persuasive text for an identified audience, with hook, opinion, supported reasons, fair concern and a specific call to action.</w:t>
            </w:r>
          </w:p>
        </w:tc>
        <w:tc>
          <w:tcPr>
            <w:tcW w:type="dxa" w:w="2381"/>
            <w:shd w:fill="F4F8F6" w:val="clear"/>
          </w:tcPr>
          <w:p>
            <w:pPr>
              <w:spacing w:after="40"/>
            </w:pPr>
            <w:r/>
            <w:r>
              <w:rPr>
                <w:rFonts w:ascii="Calibri" w:hAnsi="Calibri" w:eastAsia="Calibri"/>
                <w:b w:val="0"/>
                <w:i w:val="0"/>
                <w:color w:val="203541"/>
                <w:sz w:val="20"/>
              </w:rPr>
              <w:t>GRADE A (Exemplary)</w:t>
            </w:r>
          </w:p>
        </w:tc>
      </w:tr>
      <w:tr>
        <w:tc>
          <w:tcPr>
            <w:tcW w:type="dxa" w:w="2494"/>
            <w:shd w:fill="FFFFFF" w:val="clear"/>
          </w:tcPr>
          <w:p>
            <w:pPr>
              <w:spacing w:after="40"/>
            </w:pPr>
            <w:r/>
            <w:r>
              <w:rPr>
                <w:rFonts w:ascii="Calibri" w:hAnsi="Calibri" w:eastAsia="Calibri"/>
                <w:b w:val="0"/>
                <w:i w:val="0"/>
                <w:color w:val="203541"/>
                <w:sz w:val="20"/>
              </w:rPr>
              <w:t>Writing: ideas and evidence</w:t>
            </w:r>
          </w:p>
        </w:tc>
        <w:tc>
          <w:tcPr>
            <w:tcW w:type="dxa" w:w="4762"/>
            <w:shd w:fill="FFFFFF" w:val="clear"/>
          </w:tcPr>
          <w:p>
            <w:pPr>
              <w:spacing w:after="40"/>
            </w:pPr>
            <w:r/>
            <w:r>
              <w:rPr>
                <w:rFonts w:ascii="Calibri" w:hAnsi="Calibri" w:eastAsia="Calibri"/>
                <w:b w:val="0"/>
                <w:i w:val="0"/>
                <w:color w:val="203541"/>
                <w:sz w:val="20"/>
              </w:rPr>
              <w:t>Develops reasons with supporting details from a named source and answers a genuine audience concern with a workable rule.</w:t>
            </w:r>
          </w:p>
        </w:tc>
        <w:tc>
          <w:tcPr>
            <w:tcW w:type="dxa" w:w="2381"/>
            <w:shd w:fill="FFFFFF" w:val="clear"/>
          </w:tcPr>
          <w:p>
            <w:pPr>
              <w:spacing w:after="40"/>
            </w:pPr>
            <w:r/>
            <w:r>
              <w:rPr>
                <w:rFonts w:ascii="Calibri" w:hAnsi="Calibri" w:eastAsia="Calibri"/>
                <w:b w:val="0"/>
                <w:i w:val="0"/>
                <w:color w:val="203541"/>
                <w:sz w:val="20"/>
              </w:rPr>
              <w:t>GRADE A (Exemplary)</w:t>
            </w:r>
          </w:p>
        </w:tc>
      </w:tr>
      <w:tr>
        <w:tc>
          <w:tcPr>
            <w:tcW w:type="dxa" w:w="2494"/>
            <w:shd w:fill="F4F8F6" w:val="clear"/>
          </w:tcPr>
          <w:p>
            <w:pPr>
              <w:spacing w:after="40"/>
            </w:pPr>
            <w:r/>
            <w:r>
              <w:rPr>
                <w:rFonts w:ascii="Calibri" w:hAnsi="Calibri" w:eastAsia="Calibri"/>
                <w:b w:val="0"/>
                <w:i w:val="0"/>
                <w:color w:val="203541"/>
                <w:sz w:val="20"/>
              </w:rPr>
              <w:t>Writing: language features</w:t>
            </w:r>
          </w:p>
        </w:tc>
        <w:tc>
          <w:tcPr>
            <w:tcW w:type="dxa" w:w="4762"/>
            <w:shd w:fill="F4F8F6" w:val="clear"/>
          </w:tcPr>
          <w:p>
            <w:pPr>
              <w:spacing w:after="40"/>
            </w:pPr>
            <w:r/>
            <w:r>
              <w:rPr>
                <w:rFonts w:ascii="Calibri" w:hAnsi="Calibri" w:eastAsia="Calibri"/>
                <w:b w:val="0"/>
                <w:i w:val="0"/>
                <w:color w:val="203541"/>
                <w:sz w:val="20"/>
              </w:rPr>
              <w:t>Uses modality, causal links and precise topic vocabulary to make the proposal checkable.</w:t>
            </w:r>
          </w:p>
        </w:tc>
        <w:tc>
          <w:tcPr>
            <w:tcW w:type="dxa" w:w="2381"/>
            <w:shd w:fill="F4F8F6" w:val="clear"/>
          </w:tcPr>
          <w:p>
            <w:pPr>
              <w:spacing w:after="40"/>
            </w:pPr>
            <w:r/>
            <w:r>
              <w:rPr>
                <w:rFonts w:ascii="Calibri" w:hAnsi="Calibri" w:eastAsia="Calibri"/>
                <w:b w:val="0"/>
                <w:i w:val="0"/>
                <w:color w:val="203541"/>
                <w:sz w:val="20"/>
              </w:rPr>
              <w:t>GRADE A (Exemplary)</w:t>
            </w:r>
          </w:p>
        </w:tc>
      </w:tr>
      <w:tr>
        <w:tc>
          <w:tcPr>
            <w:tcW w:type="dxa" w:w="2494"/>
            <w:shd w:fill="FFFFFF" w:val="clear"/>
          </w:tcPr>
          <w:p>
            <w:pPr>
              <w:spacing w:after="40"/>
            </w:pPr>
            <w:r/>
            <w:r>
              <w:rPr>
                <w:rFonts w:ascii="Calibri" w:hAnsi="Calibri" w:eastAsia="Calibri"/>
                <w:b w:val="0"/>
                <w:i w:val="0"/>
                <w:color w:val="203541"/>
                <w:sz w:val="20"/>
              </w:rPr>
              <w:t>Speaking: oral presentation</w:t>
            </w:r>
          </w:p>
        </w:tc>
        <w:tc>
          <w:tcPr>
            <w:tcW w:type="dxa" w:w="4762"/>
            <w:shd w:fill="FFFFFF" w:val="clear"/>
          </w:tcPr>
          <w:p>
            <w:pPr>
              <w:spacing w:after="40"/>
            </w:pPr>
            <w:r/>
            <w:r>
              <w:rPr>
                <w:rFonts w:ascii="Calibri" w:hAnsi="Calibri" w:eastAsia="Calibri"/>
                <w:b w:val="0"/>
                <w:i w:val="0"/>
                <w:color w:val="203541"/>
                <w:sz w:val="20"/>
              </w:rPr>
              <w:t>Presents the opinion using writing as a guide. Varies pace, pause, tone or volume to make the request clearer.</w:t>
            </w:r>
          </w:p>
        </w:tc>
        <w:tc>
          <w:tcPr>
            <w:tcW w:type="dxa" w:w="2381"/>
            <w:shd w:fill="FFFFFF" w:val="clear"/>
          </w:tcPr>
          <w:p>
            <w:pPr>
              <w:spacing w:after="40"/>
            </w:pPr>
            <w:r/>
            <w:r>
              <w:rPr>
                <w:rFonts w:ascii="Calibri" w:hAnsi="Calibri" w:eastAsia="Calibri"/>
                <w:b w:val="0"/>
                <w:i w:val="0"/>
                <w:color w:val="203541"/>
                <w:sz w:val="20"/>
              </w:rPr>
              <w:t>GRADE A (Exemplary)</w:t>
            </w:r>
          </w:p>
        </w:tc>
      </w:tr>
      <w:tr>
        <w:tc>
          <w:tcPr>
            <w:tcW w:type="dxa" w:w="2494"/>
            <w:shd w:fill="F4F8F6" w:val="clear"/>
          </w:tcPr>
          <w:p>
            <w:pPr>
              <w:spacing w:after="40"/>
            </w:pPr>
            <w:r/>
            <w:r>
              <w:rPr>
                <w:rFonts w:ascii="Calibri" w:hAnsi="Calibri" w:eastAsia="Calibri"/>
                <w:b w:val="0"/>
                <w:i w:val="0"/>
                <w:color w:val="203541"/>
                <w:sz w:val="20"/>
              </w:rPr>
              <w:t>Spelling</w:t>
            </w:r>
          </w:p>
        </w:tc>
        <w:tc>
          <w:tcPr>
            <w:tcW w:type="dxa" w:w="4762"/>
            <w:shd w:fill="F4F8F6" w:val="clear"/>
          </w:tcPr>
          <w:p>
            <w:pPr>
              <w:spacing w:after="40"/>
            </w:pPr>
            <w:r/>
            <w:r>
              <w:rPr>
                <w:rFonts w:ascii="Calibri" w:hAnsi="Calibri" w:eastAsia="Calibri"/>
                <w:b w:val="0"/>
                <w:i w:val="0"/>
                <w:color w:val="203541"/>
                <w:sz w:val="20"/>
              </w:rPr>
              <w:t>Spells topic vocabulary and common morphological variants accurately.</w:t>
            </w:r>
          </w:p>
        </w:tc>
        <w:tc>
          <w:tcPr>
            <w:tcW w:type="dxa" w:w="2381"/>
            <w:shd w:fill="F4F8F6" w:val="clear"/>
          </w:tcPr>
          <w:p>
            <w:pPr>
              <w:spacing w:after="40"/>
            </w:pPr>
            <w:r/>
            <w:r>
              <w:rPr>
                <w:rFonts w:ascii="Calibri" w:hAnsi="Calibri" w:eastAsia="Calibri"/>
                <w:b w:val="0"/>
                <w:i w:val="0"/>
                <w:color w:val="203541"/>
                <w:sz w:val="20"/>
              </w:rPr>
              <w:t>DEMONSTRATING (Pass)</w:t>
            </w:r>
          </w:p>
        </w:tc>
      </w:tr>
    </w:tbl>
    <w:p>
      <w:pPr>
        <w:spacing w:after="160" w:before="0"/>
      </w:pPr>
      <w:r>
        <w:rPr>
          <w:rFonts w:ascii="Calibri" w:hAnsi="Calibri" w:eastAsia="Calibri"/>
          <w:b w:val="0"/>
          <w:i w:val="0"/>
          <w:color w:val="203541"/>
          <w:sz w:val="22"/>
        </w:rPr>
      </w:r>
    </w:p>
    <w:p>
      <w:pPr>
        <w:spacing w:after="120" w:before="0"/>
      </w:pPr>
      <w:r>
        <w:rPr>
          <w:rFonts w:ascii="Calibri" w:hAnsi="Calibri" w:eastAsia="Calibri"/>
          <w:b/>
          <w:i w:val="0"/>
          <w:color w:val="17384B"/>
          <w:sz w:val="24"/>
        </w:rPr>
        <w:t>Teacher formative feedback comment example</w:t>
      </w:r>
    </w:p>
    <w:p>
      <w:pPr>
        <w:spacing w:after="200" w:before="0"/>
      </w:pPr>
      <w:r>
        <w:rPr>
          <w:rFonts w:ascii="Calibri" w:hAnsi="Calibri" w:eastAsia="Calibri"/>
          <w:b w:val="0"/>
          <w:i/>
          <w:color w:val="203541"/>
          <w:sz w:val="22"/>
        </w:rPr>
        <w:t>This proposal is clear enough for a principal to act on. You named the exact decision — one planned Pet Learning Day — and you did not pretend that any pet may attend. The Queensland duty-of-care detail supports responsible planning rather than a vague claim that pets are “good”. I was particularly impressed by the fair-concern paragraph: you respected allergies, safety and animal stress, then answered with rules that can be checked. In the spoken excerpt, the pause before the request and the slower final sentence made the action easy to hear. Next step: add a monitoring condition after the trial day so the principal knows how the class will review safety and learning.</w:t>
      </w:r>
    </w:p>
    <w:p>
      <w:pPr>
        <w:spacing w:after="200" w:before="0"/>
      </w:pPr>
      <w:r>
        <w:rPr>
          <w:rFonts w:ascii="Calibri" w:hAnsi="Calibri" w:eastAsia="Calibri"/>
          <w:b/>
          <w:i w:val="0"/>
          <w:color w:val="17384B"/>
          <w:sz w:val="24"/>
        </w:rPr>
        <w:t>Overall standard assessed: Grade A (Exemplary)</w:t>
      </w:r>
    </w:p>
    <w:p>
      <w:pPr>
        <w:spacing w:after="0" w:before="0"/>
      </w:pPr>
      <w:r>
        <w:rPr>
          <w:rFonts w:ascii="Calibri" w:hAnsi="Calibri" w:eastAsia="Calibri"/>
          <w:b w:val="0"/>
          <w:i/>
          <w:color w:val="5B6D76"/>
          <w:sz w:val="18"/>
        </w:rPr>
        <w:t>Sources checked 24 August 2026: Queensland Department of Education, Animals in education; Queensland Schools Animal Ethics Committee, Dogs in classrooms; Queensland Department of Education, Animal observation and handling. Dogs are not suitable as permanent classroom pets under this guidance, except assistance or support contexts. A real activity requires school-specific approval, risk planning and animal-welfare arrangements.</w:t>
      </w:r>
    </w:p>
    <w:sectPr w:rsidR="00FC693F" w:rsidRPr="0006063C" w:rsidSect="00034616">
      <w:pgSz w:w="12240" w:h="15840"/>
      <w:pgMar w:top="907" w:right="1020" w:bottom="907" w:left="10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