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240"/>
          <w:left w:type="dxa" w:w="280"/>
          <w:bottom w:type="dxa" w:w="240"/>
          <w:right w:type="dxa" w:w="280"/>
        </w:tblCellMar>
      </w:tblPr>
      <w:tblGrid>
        <w:gridCol w:w="9026"/>
      </w:tblGrid>
      <w:tr>
        <w:tc>
          <w:tcPr>
            <w:tcW w:type="dxa" w:w="9026"/>
            <w:tcBorders>
              <w:top w:val="none"/>
              <w:left w:val="none"/>
              <w:bottom w:val="none"/>
              <w:right w:val="none"/>
            </w:tcBorders>
            <w:shd w:fill="1B4D3E" w:val="clear"/>
          </w:tcPr>
          <w:p>
            <w:pPr>
              <w:spacing w:after="60" w:before="120"/>
              <w:jc w:val="center"/>
            </w:pPr>
            <w:r>
              <w:rPr>
                <w:rFonts w:ascii="Arial" w:cs="Arial" w:eastAsia="Arial" w:hAnsi="Arial"/>
                <w:b/>
                <w:bCs/>
                <w:color w:val="FFFFFF"/>
                <w:sz w:val="32"/>
                <w:szCs w:val="32"/>
              </w:rPr>
              <w:t xml:space="preserve">YEAR 5 ENGLISH PERSUASIVE WRITING EXEMPLAR</w:t>
            </w:r>
          </w:p>
          <w:p>
            <w:pPr>
              <w:spacing w:after="120" w:before="0"/>
              <w:jc w:val="center"/>
            </w:pPr>
            <w:r>
              <w:rPr>
                <w:rFonts w:ascii="Arial" w:cs="Arial" w:eastAsia="Arial" w:hAnsi="Arial"/>
                <w:i/>
                <w:iCs/>
                <w:color w:val="C88A2B"/>
                <w:sz w:val="24"/>
                <w:szCs w:val="24"/>
              </w:rPr>
              <w:t xml:space="preserve">Assessment Task 3: Express an Opinion — Protecting Indonesian Orangutans</w:t>
            </w:r>
          </w:p>
        </w:tc>
      </w:tr>
    </w:tbl>
    <w:p>
      <w:pPr>
        <w:spacing w:after="180" w:before="18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0"/>
          <w:left w:type="dxa" w:w="180"/>
          <w:bottom w:type="dxa" w:w="100"/>
          <w:right w:type="dxa" w:w="180"/>
        </w:tblCellMar>
      </w:tblPr>
      <w:tblGrid>
        <w:gridCol w:w="4513"/>
        <w:gridCol w:w="4513"/>
      </w:tblGrid>
      <w:tr>
        <w:tc>
          <w:tcPr>
            <w:tcW w:type="dxa" w:w="4513"/>
            <w:tcBorders>
              <w:top w:val="single" w:color="CCCCCC" w:sz="4"/>
              <w:left w:val="single" w:color="CCCCCC" w:sz="4"/>
              <w:bottom w:val="single" w:color="CCCCCC" w:sz="4"/>
              <w:right w:val="single" w:color="CCCCCC" w:sz="4"/>
            </w:tcBorders>
            <w:shd w:fill="F0F7F4" w:val="clear"/>
          </w:tcPr>
          <w:p>
            <w:r>
              <w:rPr>
                <w:b/>
                <w:bCs/>
                <w:sz w:val="20"/>
                <w:szCs w:val="20"/>
              </w:rPr>
              <w:t xml:space="preserve">Student Name: </w:t>
            </w:r>
            <w:r>
              <w:rPr>
                <w:sz w:val="20"/>
                <w:szCs w:val="20"/>
              </w:rPr>
              <w:t xml:space="preserve">_______________________</w:t>
            </w:r>
          </w:p>
        </w:tc>
        <w:tc>
          <w:tcPr>
            <w:tcW w:type="dxa" w:w="4513"/>
            <w:tcBorders>
              <w:top w:val="single" w:color="CCCCCC" w:sz="4"/>
              <w:left w:val="single" w:color="CCCCCC" w:sz="4"/>
              <w:bottom w:val="single" w:color="CCCCCC" w:sz="4"/>
              <w:right w:val="single" w:color="CCCCCC" w:sz="4"/>
            </w:tcBorders>
            <w:shd w:fill="F0F7F4" w:val="clear"/>
          </w:tcPr>
          <w:p>
            <w:r>
              <w:rPr>
                <w:b/>
                <w:bCs/>
                <w:sz w:val="20"/>
                <w:szCs w:val="20"/>
              </w:rPr>
              <w:t xml:space="preserve">Class: </w:t>
            </w:r>
            <w:r>
              <w:rPr>
                <w:sz w:val="20"/>
                <w:szCs w:val="20"/>
              </w:rPr>
              <w:t xml:space="preserve">Year 5 ____</w:t>
            </w:r>
            <w:r>
              <w:rPr>
                <w:b/>
                <w:bCs/>
                <w:sz w:val="20"/>
                <w:szCs w:val="20"/>
              </w:rPr>
              <w:t xml:space="preserve">   Date: </w:t>
            </w:r>
            <w:r>
              <w:rPr>
                <w:sz w:val="20"/>
                <w:szCs w:val="20"/>
              </w:rPr>
              <w:t xml:space="preserve">____________</w:t>
            </w:r>
          </w:p>
        </w:tc>
      </w:tr>
    </w:tbl>
    <w:p>
      <w:pPr>
        <w:spacing w:after="180" w:before="18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1B4D3E" w:sz="12"/>
              <w:left w:val="single" w:color="1B4D3E" w:sz="12"/>
              <w:bottom w:val="single" w:color="1B4D3E" w:sz="12"/>
              <w:right w:val="single" w:color="1B4D3E" w:sz="12"/>
            </w:tcBorders>
            <w:shd w:fill="F0F7F4" w:val="clear"/>
          </w:tcPr>
          <w:p>
            <w:pPr>
              <w:spacing w:after="120" w:before="60"/>
            </w:pPr>
            <w:r>
              <w:rPr>
                <w:rFonts w:ascii="Arial" w:cs="Arial" w:eastAsia="Arial" w:hAnsi="Arial"/>
                <w:b/>
                <w:bCs/>
                <w:color w:val="1B4D3E"/>
                <w:sz w:val="24"/>
                <w:szCs w:val="24"/>
              </w:rPr>
              <w:t xml:space="preserve">📌 How to Use This Student Assessment Exemplar</w:t>
            </w:r>
          </w:p>
          <w:p>
            <w:pPr>
              <w:spacing w:after="60" w:before="60"/>
            </w:pPr>
            <w:r>
              <w:rPr>
                <w:sz w:val="20"/>
                <w:szCs w:val="20"/>
              </w:rPr>
              <w:t xml:space="preserve">This document is a high-level (A-Standard) exemplar designed to help you plan, write, and present your persuasive response for Assessment Task 3. Use this model to observe how to:</w:t>
            </w:r>
          </w:p>
          <w:p>
            <w:pPr>
              <w:pStyle w:val="ListParagraph"/>
              <w:numPr>
                <w:ilvl w:val="0"/>
                <w:numId w:val="2"/>
              </w:numPr>
            </w:pPr>
            <w:r>
              <w:rPr>
                <w:sz w:val="20"/>
                <w:szCs w:val="20"/>
              </w:rPr>
              <w:t xml:space="preserve">Organise your research using a clear planning sheet (Part A Planning).</w:t>
            </w:r>
          </w:p>
          <w:p>
            <w:pPr>
              <w:pStyle w:val="ListParagraph"/>
              <w:numPr>
                <w:ilvl w:val="0"/>
                <w:numId w:val="2"/>
              </w:numPr>
            </w:pPr>
            <w:r>
              <w:rPr>
                <w:sz w:val="20"/>
                <w:szCs w:val="20"/>
              </w:rPr>
              <w:t xml:space="preserve">Structure a 5-paragraph persuasive essay with topic sentences and authoritative evidence.</w:t>
            </w:r>
          </w:p>
          <w:p>
            <w:pPr>
              <w:pStyle w:val="ListParagraph"/>
              <w:numPr>
                <w:ilvl w:val="0"/>
                <w:numId w:val="2"/>
              </w:numPr>
            </w:pPr>
            <w:r>
              <w:rPr>
                <w:sz w:val="20"/>
                <w:szCs w:val="20"/>
              </w:rPr>
              <w:t xml:space="preserve">Address and counter opposing viewpoints with mature rebuttals.</w:t>
            </w:r>
          </w:p>
          <w:p>
            <w:pPr>
              <w:pStyle w:val="ListParagraph"/>
              <w:numPr>
                <w:ilvl w:val="0"/>
                <w:numId w:val="2"/>
              </w:numPr>
            </w:pPr>
            <w:r>
              <w:rPr>
                <w:sz w:val="20"/>
                <w:szCs w:val="20"/>
              </w:rPr>
              <w:t xml:space="preserve">Annotate your speech transcript for voice delivery (pitch, tone, pace, gestures) for your presentation (Part B).</w:t>
            </w:r>
          </w:p>
        </w:tc>
      </w:tr>
    </w:tbl>
    <w:p>
      <w:pPr>
        <w:spacing w:after="120" w:before="240"/>
      </w:pPr>
    </w:p>
    <w:p>
      <w:pPr>
        <w:pStyle w:val="Heading1"/>
        <w:spacing w:after="180" w:before="360"/>
      </w:pPr>
      <w:r>
        <w:rPr>
          <w:rFonts w:ascii="Arial" w:cs="Arial" w:eastAsia="Arial" w:hAnsi="Arial"/>
          <w:b/>
          <w:bCs/>
          <w:color w:val="1B4D3E"/>
          <w:sz w:val="32"/>
          <w:szCs w:val="32"/>
        </w:rPr>
        <w:t xml:space="preserve">1. Part A: Completed Student Planning Sheet Exemplar</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700"/>
        <w:gridCol w:w="6326"/>
      </w:tblGrid>
      <w:tr>
        <w:trPr>
          <w:tblHeader/>
        </w:trPr>
        <w:tc>
          <w:tcPr>
            <w:tcW w:type="dxa" w:w="2700"/>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Planning Category</w:t>
            </w:r>
          </w:p>
        </w:tc>
        <w:tc>
          <w:tcPr>
            <w:tcW w:type="dxa" w:w="6326"/>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Exemplar Student Details</w:t>
            </w:r>
          </w:p>
        </w:tc>
      </w:tr>
      <w:tr>
        <w:tc>
          <w:tcPr>
            <w:tcW w:type="dxa" w:w="27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Topic</w:t>
            </w:r>
          </w:p>
        </w:tc>
        <w:tc>
          <w:tcPr>
            <w:tcW w:type="dxa" w:w="6326"/>
            <w:tcBorders>
              <w:top w:val="single" w:color="CCCCCC" w:sz="4"/>
              <w:left w:val="single" w:color="CCCCCC" w:sz="4"/>
              <w:bottom w:val="single" w:color="CCCCCC" w:sz="4"/>
              <w:right w:val="single" w:color="CCCCCC" w:sz="4"/>
            </w:tcBorders>
            <w:shd w:fill="F0F7F4" w:val="clear"/>
          </w:tcPr>
          <w:p>
            <w:r>
              <w:rPr>
                <w:sz w:val="20"/>
                <w:szCs w:val="20"/>
              </w:rPr>
              <w:t xml:space="preserve">Eradicating destructive palm oil farms in Indonesia to save critically endangered orangutans.</w:t>
            </w:r>
          </w:p>
        </w:tc>
      </w:tr>
      <w:tr>
        <w:tc>
          <w:tcPr>
            <w:tcW w:type="dxa" w:w="27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Stance / Opinion</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Industrial, uncertified palm oil farming in Indonesia must be stopped immediately to protect orangutan habitats and prevent species extinction.</w:t>
            </w:r>
          </w:p>
        </w:tc>
      </w:tr>
      <w:tr>
        <w:tc>
          <w:tcPr>
            <w:tcW w:type="dxa" w:w="27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Target Audience</w:t>
            </w:r>
          </w:p>
        </w:tc>
        <w:tc>
          <w:tcPr>
            <w:tcW w:type="dxa" w:w="6326"/>
            <w:tcBorders>
              <w:top w:val="single" w:color="CCCCCC" w:sz="4"/>
              <w:left w:val="single" w:color="CCCCCC" w:sz="4"/>
              <w:bottom w:val="single" w:color="CCCCCC" w:sz="4"/>
              <w:right w:val="single" w:color="CCCCCC" w:sz="4"/>
            </w:tcBorders>
            <w:shd w:fill="F0F7F4" w:val="clear"/>
          </w:tcPr>
          <w:p>
            <w:r>
              <w:rPr>
                <w:sz w:val="20"/>
                <w:szCs w:val="20"/>
              </w:rPr>
              <w:t xml:space="preserve">School community members, young consumers, and local consumer action groups.</w:t>
            </w:r>
          </w:p>
        </w:tc>
      </w:tr>
      <w:tr>
        <w:tc>
          <w:tcPr>
            <w:tcW w:type="dxa" w:w="27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Formality &amp; Tone</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Formal, passionate, urgent, and evidence-based.</w:t>
            </w:r>
          </w:p>
        </w:tc>
      </w:tr>
      <w:tr>
        <w:tc>
          <w:tcPr>
            <w:tcW w:type="dxa" w:w="27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Hook Strategy</w:t>
            </w:r>
          </w:p>
        </w:tc>
        <w:tc>
          <w:tcPr>
            <w:tcW w:type="dxa" w:w="6326"/>
            <w:tcBorders>
              <w:top w:val="single" w:color="CCCCCC" w:sz="4"/>
              <w:left w:val="single" w:color="CCCCCC" w:sz="4"/>
              <w:bottom w:val="single" w:color="CCCCCC" w:sz="4"/>
              <w:right w:val="single" w:color="CCCCCC" w:sz="4"/>
            </w:tcBorders>
            <w:shd w:fill="F0F7F4" w:val="clear"/>
          </w:tcPr>
          <w:p>
            <w:r>
              <w:rPr>
                <w:sz w:val="20"/>
                <w:szCs w:val="20"/>
              </w:rPr>
              <w:t xml:space="preserve">Vivid imagery of a peaceful rainforest canopy contrasted sharply with the destructive roar of heavy machinery.</w:t>
            </w:r>
          </w:p>
        </w:tc>
      </w:tr>
      <w:tr>
        <w:tc>
          <w:tcPr>
            <w:tcW w:type="dxa" w:w="27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Argument 1 (Habitat Loss)</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Palm oil deforestation destroys ancient rainforest homes. Evidence: World Wildlife Fund (WWF) notes over 80% of habitat cleared in 20 years. Direct quote from Dr Biruté Galdikas.</w:t>
            </w:r>
          </w:p>
        </w:tc>
      </w:tr>
      <w:tr>
        <w:tc>
          <w:tcPr>
            <w:tcW w:type="dxa" w:w="27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Argument 2 (Biodiversity)</w:t>
            </w:r>
          </w:p>
        </w:tc>
        <w:tc>
          <w:tcPr>
            <w:tcW w:type="dxa" w:w="6326"/>
            <w:tcBorders>
              <w:top w:val="single" w:color="CCCCCC" w:sz="4"/>
              <w:left w:val="single" w:color="CCCCCC" w:sz="4"/>
              <w:bottom w:val="single" w:color="CCCCCC" w:sz="4"/>
              <w:right w:val="single" w:color="CCCCCC" w:sz="4"/>
            </w:tcBorders>
            <w:shd w:fill="F0F7F4" w:val="clear"/>
          </w:tcPr>
          <w:p>
            <w:r>
              <w:rPr>
                <w:sz w:val="20"/>
                <w:szCs w:val="20"/>
              </w:rPr>
              <w:t xml:space="preserve">Loss of orangutans causes total ecosystem collapse. Evidence: IUCN reports orangutan populations plunged over 60%. Monocultures destroy biodiversity.</w:t>
            </w:r>
          </w:p>
        </w:tc>
      </w:tr>
      <w:tr>
        <w:tc>
          <w:tcPr>
            <w:tcW w:type="dxa" w:w="27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Counterargument &amp; Rebuttal</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Counter: Palm oil provides jobs for local Indonesian workers. Rebuttal: Sustainable agroforestry, eco-tourism, and RSPO certification provide stable jobs without forest destruction.</w:t>
            </w:r>
          </w:p>
        </w:tc>
      </w:tr>
      <w:tr>
        <w:tc>
          <w:tcPr>
            <w:tcW w:type="dxa" w:w="27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Persuasive Devices</w:t>
            </w:r>
          </w:p>
        </w:tc>
        <w:tc>
          <w:tcPr>
            <w:tcW w:type="dxa" w:w="6326"/>
            <w:tcBorders>
              <w:top w:val="single" w:color="CCCCCC" w:sz="4"/>
              <w:left w:val="single" w:color="CCCCCC" w:sz="4"/>
              <w:bottom w:val="single" w:color="CCCCCC" w:sz="4"/>
              <w:right w:val="single" w:color="CCCCCC" w:sz="4"/>
            </w:tcBorders>
            <w:shd w:fill="F0F7F4" w:val="clear"/>
          </w:tcPr>
          <w:p>
            <w:r>
              <w:rPr>
                <w:sz w:val="20"/>
                <w:szCs w:val="20"/>
              </w:rPr>
              <w:t xml:space="preserve">Rhetorical questions, rule of three, modal verbs (must, urgently, cannot), expanded noun groups, high-impact emotive adjectives, expert quote.</w:t>
            </w:r>
          </w:p>
        </w:tc>
      </w:tr>
      <w:tr>
        <w:tc>
          <w:tcPr>
            <w:tcW w:type="dxa" w:w="27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Call to Action</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Demanding product label transparency, boycotting uncertified palm oil, and protecting rainforest canopies.</w:t>
            </w:r>
          </w:p>
        </w:tc>
      </w:tr>
    </w:tbl>
    <w:p>
      <w:pPr>
        <w:spacing w:after="140" w:before="280"/>
      </w:pPr>
    </w:p>
    <w:p>
      <w:pPr>
        <w:pStyle w:val="Heading1"/>
        <w:spacing w:after="180" w:before="360"/>
      </w:pPr>
      <w:r>
        <w:rPr>
          <w:rFonts w:ascii="Arial" w:cs="Arial" w:eastAsia="Arial" w:hAnsi="Arial"/>
          <w:b/>
          <w:bCs/>
          <w:color w:val="1B4D3E"/>
          <w:sz w:val="32"/>
          <w:szCs w:val="32"/>
        </w:rPr>
        <w:t xml:space="preserve">2. Part A: Year 5 A-Standard Written Persuasive Text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1B4D3E" w:sz="12"/>
              <w:left w:val="single" w:color="1B4D3E" w:sz="12"/>
              <w:bottom w:val="single" w:color="1B4D3E" w:sz="12"/>
              <w:right w:val="single" w:color="1B4D3E" w:sz="12"/>
            </w:tcBorders>
            <w:shd w:fill="F7FAF8" w:val="clear"/>
          </w:tcPr>
          <w:p>
            <w:pPr>
              <w:spacing w:after="120" w:before="60"/>
            </w:pPr>
            <w:r>
              <w:rPr>
                <w:rFonts w:ascii="Arial" w:cs="Arial" w:eastAsia="Arial" w:hAnsi="Arial"/>
                <w:b/>
                <w:bCs/>
                <w:color w:val="1B4D3E"/>
                <w:sz w:val="24"/>
                <w:szCs w:val="24"/>
              </w:rPr>
              <w:t xml:space="preserve">Silent Voices of the Rainforest: Why We Must Stop Palm Oil Destruction to Save Indonesia’s Orangutans</w:t>
            </w:r>
          </w:p>
          <w:p>
            <w:pPr>
              <w:spacing w:after="140" w:before="100" w:line="276"/>
            </w:pPr>
            <w:r>
              <w:rPr>
                <w:sz w:val="22"/>
                <w:szCs w:val="22"/>
              </w:rPr>
              <w:t xml:space="preserve">Imagine walking through a lush, ancient Indonesian rainforest, surrounded by towering emerald trees, only to hear the crushing roar of a bulldozer flattening everything in its path. This devastating reality is happening right now across Sumatra and Borneo. Industrial palm oil plantations are systematically destroying the sacred habitat of the critically endangered orangutan. To protect these magnificent creatures—our closest biological relatives sharing nearly 97 per cent of human DNA—we must urgently eradicate destructive, uncertified palm oil farming in Indonesia and demand sustainable alternatives.</w:t>
            </w:r>
          </w:p>
          <w:p>
            <w:pPr>
              <w:spacing w:after="140" w:before="100" w:line="276"/>
            </w:pPr>
            <w:r>
              <w:rPr>
                <w:sz w:val="22"/>
                <w:szCs w:val="22"/>
              </w:rPr>
              <w:t xml:space="preserve">Firstly, the rapid expansion of industrial palm oil farms is driving unprecedented habitat destruction. According to research from the World Wildlife Fund (WWF), over 80 per cent of orangutan habitat has been cleared in the past twenty years to make way for vast monoculture palm plantations. When these ancient trees are cut down, orangutans lose their shelter, nesting sites, and essential food sources like wild figs and bark. Dr Biruté Galdikas, a world-renowned primatologist, warned, </w:t>
            </w:r>
            <w:r>
              <w:rPr>
                <w:b/>
                <w:bCs/>
                <w:i/>
                <w:iCs/>
                <w:color w:val="1B4D3E"/>
                <w:sz w:val="22"/>
                <w:szCs w:val="22"/>
              </w:rPr>
              <w:t xml:space="preserve">“If we do not stop the clearing of Indonesia’s ancient canopies immediately, wild orangutans could become extinct within our lifetime.”</w:t>
            </w:r>
            <w:r>
              <w:rPr>
                <w:sz w:val="22"/>
                <w:szCs w:val="22"/>
              </w:rPr>
              <w:t xml:space="preserve"> Without their forest homes, these gentle copper-haired primates are left displaced, vulnerable, and starving.</w:t>
            </w:r>
          </w:p>
          <w:p>
            <w:pPr>
              <w:spacing w:after="140" w:before="100" w:line="276"/>
            </w:pPr>
            <w:r>
              <w:rPr>
                <w:sz w:val="22"/>
                <w:szCs w:val="22"/>
              </w:rPr>
              <w:t xml:space="preserve">Secondly, palm oil deforestation inflicts catastrophic damage on broader rainforest ecosystems. Tropical rainforests in Indonesia are global biodiversity hotspots, supporting thousands of unique plant and animal species. Destroying these forests for cheap palm oil does not merely displace orangutans; it causes total ecosystem collapse. International Union for Conservation of Nature (IUCN) data reveals that orangutan populations have plunged by over 60 per cent in recent decades, leaving them critically endangered. Every single hectare of burnt forest represents lost lives and destroyed ecosystems. Can we truly justify wiping out an entire species simply to produce cheap ingredients for chocolate bars, soaps, and cosmetics?</w:t>
            </w:r>
          </w:p>
          <w:p>
            <w:pPr>
              <w:spacing w:after="140" w:before="100" w:line="276"/>
            </w:pPr>
            <w:r>
              <w:rPr>
                <w:sz w:val="22"/>
                <w:szCs w:val="22"/>
              </w:rPr>
              <w:t xml:space="preserve">Some people may argue that palm oil farming is necessary because it provides vital income for local Indonesian farmers and communities. While economic livelihood is important, continuing to destroy ancient ecosystems is an unsustainable disaster. According to economic research by the Rainforest Action Network, transitioning towards eco-tourism, sustainable agroforestry, and RSPO-certified farming creates long-term, stable jobs without devastating the environment. Furthermore, as responsible global consumers, we have the power to refuse products containing uncertified palm oil, forcing large corporations to adopt ethical practices. Protecting jobs and saving orangutans do not have to be mutually exclusive; we can achieve both through strict environmental regulation.</w:t>
            </w:r>
          </w:p>
          <w:p>
            <w:pPr>
              <w:spacing w:after="140" w:before="100" w:line="276"/>
            </w:pPr>
            <w:r>
              <w:rPr>
                <w:b/>
                <w:bCs/>
                <w:sz w:val="22"/>
                <w:szCs w:val="22"/>
              </w:rPr>
              <w:t xml:space="preserve">In conclusion, eradicating destructive palm oil farming in Indonesia is an absolute necessity to prevent the extinction of orangutans. By preserving ancient forest canopies, supporting eco-certified agriculture, and speaking up for wildlife, we can ensure a safe future for these incredible animals. We cannot stand silently by while bulldozers tear down the lungs of our planet. The time for action is right now—will you choose to protect Indonesia’s ancient rainforests before the last orangutan disappears forever?</w:t>
            </w:r>
          </w:p>
        </w:tc>
      </w:tr>
    </w:tbl>
    <w:p>
      <w:pPr>
        <w:spacing w:after="140" w:before="280"/>
      </w:pPr>
    </w:p>
    <w:p>
      <w:pPr>
        <w:pStyle w:val="Heading1"/>
        <w:spacing w:after="180" w:before="360"/>
      </w:pPr>
      <w:r>
        <w:rPr>
          <w:rFonts w:ascii="Arial" w:cs="Arial" w:eastAsia="Arial" w:hAnsi="Arial"/>
          <w:b/>
          <w:bCs/>
          <w:color w:val="1B4D3E"/>
          <w:sz w:val="32"/>
          <w:szCs w:val="32"/>
        </w:rPr>
        <w:t xml:space="preserve">3. Why This Achieves an A-Standard (Year 5 Curriculum Breakdown)</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600"/>
        <w:gridCol w:w="3600"/>
        <w:gridCol w:w="2826"/>
      </w:tblGrid>
      <w:tr>
        <w:trPr>
          <w:tblHeader/>
        </w:trPr>
        <w:tc>
          <w:tcPr>
            <w:tcW w:type="dxa" w:w="2600"/>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Criterion Area</w:t>
            </w:r>
          </w:p>
        </w:tc>
        <w:tc>
          <w:tcPr>
            <w:tcW w:type="dxa" w:w="3600"/>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Evidence in Exemplar Text</w:t>
            </w:r>
          </w:p>
        </w:tc>
        <w:tc>
          <w:tcPr>
            <w:tcW w:type="dxa" w:w="2826"/>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AC v9 Standard Alignment</w:t>
            </w:r>
          </w:p>
        </w:tc>
      </w:tr>
      <w:tr>
        <w:tc>
          <w:tcPr>
            <w:tcW w:type="dxa" w:w="26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Text Structure &amp; Paragraphing</w:t>
            </w:r>
          </w:p>
        </w:tc>
        <w:tc>
          <w:tcPr>
            <w:tcW w:type="dxa" w:w="3600"/>
            <w:tcBorders>
              <w:top w:val="single" w:color="CCCCCC" w:sz="4"/>
              <w:left w:val="single" w:color="CCCCCC" w:sz="4"/>
              <w:bottom w:val="single" w:color="CCCCCC" w:sz="4"/>
              <w:right w:val="single" w:color="CCCCCC" w:sz="4"/>
            </w:tcBorders>
            <w:shd w:fill="F0F7F4" w:val="clear"/>
          </w:tcPr>
          <w:p>
            <w:r>
              <w:rPr>
                <w:sz w:val="20"/>
                <w:szCs w:val="20"/>
              </w:rPr>
              <w:t xml:space="preserve">• Clear introduction with sensory hook and explicit thesis statement.</w:t>
            </w:r>
          </w:p>
          <w:p>
            <w:r>
              <w:rPr>
                <w:sz w:val="20"/>
                <w:szCs w:val="20"/>
              </w:rPr>
              <w:t xml:space="preserve">• 3 body paragraphs starting with strong topic sentences (Firstly, Secondly, Some people may argue...).</w:t>
            </w:r>
          </w:p>
          <w:p>
            <w:r>
              <w:rPr>
                <w:sz w:val="20"/>
                <w:szCs w:val="20"/>
              </w:rPr>
              <w:t xml:space="preserve">• Reiteration of thesis in conclusion with a call to action.</w:t>
            </w:r>
          </w:p>
        </w:tc>
        <w:tc>
          <w:tcPr>
            <w:tcW w:type="dxa" w:w="2826"/>
            <w:tcBorders>
              <w:top w:val="single" w:color="CCCCCC" w:sz="4"/>
              <w:left w:val="single" w:color="CCCCCC" w:sz="4"/>
              <w:bottom w:val="single" w:color="CCCCCC" w:sz="4"/>
              <w:right w:val="single" w:color="CCCCCC" w:sz="4"/>
            </w:tcBorders>
            <w:shd w:fill="F0F7F4" w:val="clear"/>
          </w:tcPr>
          <w:p>
            <w:r>
              <w:rPr>
                <w:b/>
                <w:bCs/>
                <w:color w:val="2E6F40"/>
                <w:sz w:val="20"/>
                <w:szCs w:val="20"/>
              </w:rPr>
              <w:t xml:space="preserve">AC9E5LA03</w:t>
            </w:r>
          </w:p>
          <w:p>
            <w:r>
              <w:rPr>
                <w:b w:val="false"/>
                <w:bCs w:val="false"/>
                <w:color w:val="222222"/>
                <w:sz w:val="20"/>
                <w:szCs w:val="20"/>
              </w:rPr>
              <w:t xml:space="preserve">Uses structured paragraphs and cohesive transition devices (firstly, while, furthermore, in conclusion) to link ideas.</w:t>
            </w:r>
          </w:p>
        </w:tc>
      </w:tr>
      <w:tr>
        <w:tc>
          <w:tcPr>
            <w:tcW w:type="dxa" w:w="26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Ideas &amp; Authoritative Evidence</w:t>
            </w:r>
          </w:p>
        </w:tc>
        <w:tc>
          <w:tcPr>
            <w:tcW w:type="dxa" w:w="3600"/>
            <w:tcBorders>
              <w:top w:val="single" w:color="CCCCCC" w:sz="4"/>
              <w:left w:val="single" w:color="CCCCCC" w:sz="4"/>
              <w:bottom w:val="single" w:color="CCCCCC" w:sz="4"/>
              <w:right w:val="single" w:color="CCCCCC" w:sz="4"/>
            </w:tcBorders>
            <w:shd w:fill="FFFFFF" w:val="clear"/>
          </w:tcPr>
          <w:p>
            <w:r>
              <w:rPr>
                <w:sz w:val="20"/>
                <w:szCs w:val="20"/>
              </w:rPr>
              <w:t xml:space="preserve">• Stats from WWF (&gt;80% habitat loss) and IUCN (&gt;60% population drop).</w:t>
            </w:r>
          </w:p>
          <w:p>
            <w:r>
              <w:rPr>
                <w:sz w:val="20"/>
                <w:szCs w:val="20"/>
              </w:rPr>
              <w:t xml:space="preserve">• Direct expert quote (Dr Biruté Galdikas).</w:t>
            </w:r>
          </w:p>
          <w:p>
            <w:r>
              <w:rPr>
                <w:sz w:val="20"/>
                <w:szCs w:val="20"/>
              </w:rPr>
              <w:t xml:space="preserve">• Directly refutes economic counterargument using Rainforest Action Network data.</w:t>
            </w:r>
          </w:p>
        </w:tc>
        <w:tc>
          <w:tcPr>
            <w:tcW w:type="dxa" w:w="2826"/>
            <w:tcBorders>
              <w:top w:val="single" w:color="CCCCCC" w:sz="4"/>
              <w:left w:val="single" w:color="CCCCCC" w:sz="4"/>
              <w:bottom w:val="single" w:color="CCCCCC" w:sz="4"/>
              <w:right w:val="single" w:color="CCCCCC" w:sz="4"/>
            </w:tcBorders>
            <w:shd w:fill="FFFFFF" w:val="clear"/>
          </w:tcPr>
          <w:p>
            <w:r>
              <w:rPr>
                <w:b/>
                <w:bCs/>
                <w:color w:val="2E6F40"/>
                <w:sz w:val="20"/>
                <w:szCs w:val="20"/>
              </w:rPr>
              <w:t xml:space="preserve">AC9E5LE01 / AC9E5LY06</w:t>
            </w:r>
          </w:p>
          <w:p>
            <w:r>
              <w:rPr>
                <w:b w:val="false"/>
                <w:bCs w:val="false"/>
                <w:color w:val="222222"/>
                <w:sz w:val="20"/>
                <w:szCs w:val="20"/>
              </w:rPr>
              <w:t xml:space="preserve">Develops and expands on ideas with authoritative evidence, showing critical thinking.</w:t>
            </w:r>
          </w:p>
        </w:tc>
      </w:tr>
      <w:tr>
        <w:tc>
          <w:tcPr>
            <w:tcW w:type="dxa" w:w="26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Language Features &amp; Sentences</w:t>
            </w:r>
          </w:p>
        </w:tc>
        <w:tc>
          <w:tcPr>
            <w:tcW w:type="dxa" w:w="3600"/>
            <w:tcBorders>
              <w:top w:val="single" w:color="CCCCCC" w:sz="4"/>
              <w:left w:val="single" w:color="CCCCCC" w:sz="4"/>
              <w:bottom w:val="single" w:color="CCCCCC" w:sz="4"/>
              <w:right w:val="single" w:color="CCCCCC" w:sz="4"/>
            </w:tcBorders>
            <w:shd w:fill="F0F7F4" w:val="clear"/>
          </w:tcPr>
          <w:p>
            <w:r>
              <w:rPr>
                <w:sz w:val="20"/>
                <w:szCs w:val="20"/>
              </w:rPr>
              <w:t xml:space="preserve">• Complex sentences combining subordinate clauses (While economic livelihood is important...).</w:t>
            </w:r>
          </w:p>
          <w:p>
            <w:r>
              <w:rPr>
                <w:sz w:val="20"/>
                <w:szCs w:val="20"/>
              </w:rPr>
              <w:t xml:space="preserve">• Expanded noun groups (vast monoculture palm plantations, gentle copper-haired primates).</w:t>
            </w:r>
          </w:p>
          <w:p>
            <w:r>
              <w:rPr>
                <w:sz w:val="20"/>
                <w:szCs w:val="20"/>
              </w:rPr>
              <w:t xml:space="preserve">• High modality verbs (must, urgently, cannot).</w:t>
            </w:r>
          </w:p>
        </w:tc>
        <w:tc>
          <w:tcPr>
            <w:tcW w:type="dxa" w:w="2826"/>
            <w:tcBorders>
              <w:top w:val="single" w:color="CCCCCC" w:sz="4"/>
              <w:left w:val="single" w:color="CCCCCC" w:sz="4"/>
              <w:bottom w:val="single" w:color="CCCCCC" w:sz="4"/>
              <w:right w:val="single" w:color="CCCCCC" w:sz="4"/>
            </w:tcBorders>
            <w:shd w:fill="F0F7F4" w:val="clear"/>
          </w:tcPr>
          <w:p>
            <w:r>
              <w:rPr>
                <w:b/>
                <w:bCs/>
                <w:color w:val="2E6F40"/>
                <w:sz w:val="20"/>
                <w:szCs w:val="20"/>
              </w:rPr>
              <w:t xml:space="preserve">AC9E5LA08</w:t>
            </w:r>
          </w:p>
          <w:p>
            <w:r>
              <w:rPr>
                <w:b w:val="false"/>
                <w:bCs w:val="false"/>
                <w:color w:val="222222"/>
                <w:sz w:val="20"/>
                <w:szCs w:val="20"/>
              </w:rPr>
              <w:t xml:space="preserve">Demonstrates high-level control of complex sentence structures, expanded nominals, and persuasive modality.</w:t>
            </w:r>
          </w:p>
        </w:tc>
      </w:tr>
      <w:tr>
        <w:tc>
          <w:tcPr>
            <w:tcW w:type="dxa" w:w="26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Persuasive Devices &amp; Devices</w:t>
            </w:r>
          </w:p>
        </w:tc>
        <w:tc>
          <w:tcPr>
            <w:tcW w:type="dxa" w:w="3600"/>
            <w:tcBorders>
              <w:top w:val="single" w:color="CCCCCC" w:sz="4"/>
              <w:left w:val="single" w:color="CCCCCC" w:sz="4"/>
              <w:bottom w:val="single" w:color="CCCCCC" w:sz="4"/>
              <w:right w:val="single" w:color="CCCCCC" w:sz="4"/>
            </w:tcBorders>
            <w:shd w:fill="FFFFFF" w:val="clear"/>
          </w:tcPr>
          <w:p>
            <w:r>
              <w:rPr>
                <w:sz w:val="20"/>
                <w:szCs w:val="20"/>
              </w:rPr>
              <w:t xml:space="preserve">• Emotive imagery (lungs of our planet, crushing roar of a bulldozer).</w:t>
            </w:r>
          </w:p>
          <w:p>
            <w:r>
              <w:rPr>
                <w:sz w:val="20"/>
                <w:szCs w:val="20"/>
              </w:rPr>
              <w:t xml:space="preserve">• Rhetorical questions (Can we truly justify...? Will you choose...?).</w:t>
            </w:r>
          </w:p>
          <w:p>
            <w:r>
              <w:rPr>
                <w:sz w:val="20"/>
                <w:szCs w:val="20"/>
              </w:rPr>
              <w:t xml:space="preserve">• Rule of three (displaced, vulnerable, and starving).</w:t>
            </w:r>
          </w:p>
        </w:tc>
        <w:tc>
          <w:tcPr>
            <w:tcW w:type="dxa" w:w="2826"/>
            <w:tcBorders>
              <w:top w:val="single" w:color="CCCCCC" w:sz="4"/>
              <w:left w:val="single" w:color="CCCCCC" w:sz="4"/>
              <w:bottom w:val="single" w:color="CCCCCC" w:sz="4"/>
              <w:right w:val="single" w:color="CCCCCC" w:sz="4"/>
            </w:tcBorders>
            <w:shd w:fill="FFFFFF" w:val="clear"/>
          </w:tcPr>
          <w:p>
            <w:r>
              <w:rPr>
                <w:b/>
                <w:bCs/>
                <w:color w:val="2E6F40"/>
                <w:sz w:val="20"/>
                <w:szCs w:val="20"/>
              </w:rPr>
              <w:t xml:space="preserve">AC9E5LY07</w:t>
            </w:r>
          </w:p>
          <w:p>
            <w:r>
              <w:rPr>
                <w:b w:val="false"/>
                <w:bCs w:val="false"/>
                <w:color w:val="222222"/>
                <w:sz w:val="20"/>
                <w:szCs w:val="20"/>
              </w:rPr>
              <w:t xml:space="preserve">Employs figurative language and persuasive devices effectively to persuade the target audience.</w:t>
            </w:r>
          </w:p>
        </w:tc>
      </w:tr>
      <w:tr>
        <w:tc>
          <w:tcPr>
            <w:tcW w:type="dxa" w:w="26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Vocabulary &amp; Spelling</w:t>
            </w:r>
          </w:p>
        </w:tc>
        <w:tc>
          <w:tcPr>
            <w:tcW w:type="dxa" w:w="3600"/>
            <w:tcBorders>
              <w:top w:val="single" w:color="CCCCCC" w:sz="4"/>
              <w:left w:val="single" w:color="CCCCCC" w:sz="4"/>
              <w:bottom w:val="single" w:color="CCCCCC" w:sz="4"/>
              <w:right w:val="single" w:color="CCCCCC" w:sz="4"/>
            </w:tcBorders>
            <w:shd w:fill="F0F7F4" w:val="clear"/>
          </w:tcPr>
          <w:p>
            <w:r>
              <w:rPr>
                <w:sz w:val="20"/>
                <w:szCs w:val="20"/>
              </w:rPr>
              <w:t xml:space="preserve">• Precise topic vocabulary (monoculture, biodiversity hotspots, agroforestry, RSPO-certified).</w:t>
            </w:r>
          </w:p>
          <w:p>
            <w:r>
              <w:rPr>
                <w:sz w:val="20"/>
                <w:szCs w:val="20"/>
              </w:rPr>
              <w:t xml:space="preserve">• Accurate Australian English spelling (per cent, recognise, colour).</w:t>
            </w:r>
          </w:p>
        </w:tc>
        <w:tc>
          <w:tcPr>
            <w:tcW w:type="dxa" w:w="2826"/>
            <w:tcBorders>
              <w:top w:val="single" w:color="CCCCCC" w:sz="4"/>
              <w:left w:val="single" w:color="CCCCCC" w:sz="4"/>
              <w:bottom w:val="single" w:color="CCCCCC" w:sz="4"/>
              <w:right w:val="single" w:color="CCCCCC" w:sz="4"/>
            </w:tcBorders>
            <w:shd w:fill="F0F7F4" w:val="clear"/>
          </w:tcPr>
          <w:p>
            <w:r>
              <w:rPr>
                <w:b/>
                <w:bCs/>
                <w:color w:val="2E6F40"/>
                <w:sz w:val="20"/>
                <w:szCs w:val="20"/>
              </w:rPr>
              <w:t xml:space="preserve">AC9E5LY08</w:t>
            </w:r>
          </w:p>
          <w:p>
            <w:r>
              <w:rPr>
                <w:b w:val="false"/>
                <w:bCs w:val="false"/>
                <w:color w:val="222222"/>
                <w:sz w:val="20"/>
                <w:szCs w:val="20"/>
              </w:rPr>
              <w:t xml:space="preserve">Demonstrates accurate morphemic and topic-specific vocabulary spelling.</w:t>
            </w:r>
          </w:p>
        </w:tc>
      </w:tr>
    </w:tbl>
    <w:p>
      <w:pPr>
        <w:spacing w:after="140" w:before="280"/>
      </w:pPr>
    </w:p>
    <w:p>
      <w:pPr>
        <w:pStyle w:val="Heading1"/>
        <w:spacing w:after="180" w:before="360"/>
      </w:pPr>
      <w:r>
        <w:rPr>
          <w:rFonts w:ascii="Arial" w:cs="Arial" w:eastAsia="Arial" w:hAnsi="Arial"/>
          <w:b/>
          <w:bCs/>
          <w:color w:val="1B4D3E"/>
          <w:sz w:val="32"/>
          <w:szCs w:val="32"/>
        </w:rPr>
        <w:t xml:space="preserve">4. Part B: Speaking &amp; Listening Presentation Transcript</w:t>
      </w:r>
    </w:p>
    <w:p>
      <w:pPr>
        <w:spacing w:after="120" w:before="60" w:line="276"/>
        <w:jc w:val="left"/>
      </w:pPr>
      <w:r>
        <w:rPr>
          <w:rFonts w:ascii="Arial" w:cs="Arial" w:eastAsia="Arial" w:hAnsi="Arial"/>
          <w:b w:val="false"/>
          <w:bCs w:val="false"/>
          <w:i w:val="false"/>
          <w:iCs w:val="false"/>
          <w:color w:val="222222"/>
          <w:sz w:val="22"/>
          <w:szCs w:val="22"/>
        </w:rPr>
        <w:t xml:space="preserve">Use this annotated script to practise your oral presentation. Notice how voice features (pitch, tone, pace, volume) and visual slide cues are planned to maximize persuasive impact.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2E6F40" w:sz="12"/>
              <w:left w:val="single" w:color="2E6F40" w:sz="12"/>
              <w:bottom w:val="single" w:color="2E6F40" w:sz="12"/>
              <w:right w:val="single" w:color="2E6F40" w:sz="12"/>
            </w:tcBorders>
            <w:shd w:fill="F0F7F4" w:val="clear"/>
          </w:tcPr>
          <w:p>
            <w:pPr>
              <w:spacing w:after="120" w:before="60"/>
            </w:pPr>
            <w:r>
              <w:rPr>
                <w:rFonts w:ascii="Arial" w:cs="Arial" w:eastAsia="Arial" w:hAnsi="Arial"/>
                <w:b/>
                <w:bCs/>
                <w:color w:val="2E6F40"/>
                <w:sz w:val="24"/>
                <w:szCs w:val="24"/>
              </w:rPr>
              <w:t xml:space="preserve">Annotated Speech Transcript (Suggested Time: 1:45 – 2:00 mins)</w:t>
            </w:r>
          </w:p>
          <w:p>
            <w:pPr>
              <w:spacing w:after="80" w:before="80"/>
            </w:pPr>
            <w:r>
              <w:rPr>
                <w:b/>
                <w:bCs/>
                <w:color w:val="C88A2B"/>
                <w:sz w:val="20"/>
                <w:szCs w:val="20"/>
              </w:rPr>
              <w:t xml:space="preserve">[VISUAL CUE: Slide displaying a vivid photo of an orangutan mother and infant high in the rainforest canopy.]</w:t>
            </w:r>
          </w:p>
          <w:p>
            <w:pPr>
              <w:spacing w:after="100" w:before="60"/>
            </w:pPr>
            <w:r>
              <w:rPr>
                <w:i/>
                <w:iCs/>
                <w:color w:val="2E6F40"/>
                <w:sz w:val="20"/>
                <w:szCs w:val="20"/>
              </w:rPr>
              <w:t xml:space="preserve">[TONE: Warm, engaging, measured. PACE: Moderate. GESTURE: Direct eye contact, open hands.]
</w:t>
            </w:r>
            <w:r>
              <w:rPr>
                <w:sz w:val="22"/>
                <w:szCs w:val="22"/>
              </w:rPr>
              <w:t xml:space="preserve">Good morning teachers and classmates.</w:t>
            </w:r>
          </w:p>
          <w:p>
            <w:pPr>
              <w:spacing w:after="100" w:before="60"/>
            </w:pPr>
            <w:r>
              <w:rPr>
                <w:i/>
                <w:iCs/>
                <w:color w:val="2E6F40"/>
                <w:sz w:val="20"/>
                <w:szCs w:val="20"/>
              </w:rPr>
              <w:t xml:space="preserve">[PAUSE - 2 seconds. PITCH: Drops slightly, earnest.]
</w:t>
            </w:r>
            <w:r>
              <w:rPr>
                <w:sz w:val="22"/>
                <w:szCs w:val="22"/>
              </w:rPr>
              <w:t xml:space="preserve">Imagine walking through a lush, ancient Indonesian rainforest, surrounded by towering emerald trees, only to hear the crushing roar of a bulldozer flattening everything in its path.</w:t>
            </w:r>
          </w:p>
          <w:p>
            <w:pPr>
              <w:spacing w:after="100" w:before="60"/>
            </w:pPr>
            <w:r>
              <w:rPr>
                <w:i/>
                <w:iCs/>
                <w:color w:val="2E6F40"/>
                <w:sz w:val="20"/>
                <w:szCs w:val="20"/>
              </w:rPr>
              <w:t xml:space="preserve">[TONE: Urgent and serious. EMPHASIS on 'devastating' and 'right now'.]
</w:t>
            </w:r>
            <w:r>
              <w:rPr>
                <w:sz w:val="22"/>
                <w:szCs w:val="22"/>
              </w:rPr>
              <w:t xml:space="preserve">This devastating reality is happening right now across Sumatra and Borneo. Industrial palm oil plantations are systematically destroying the home of the critically endangered orangutan. To protect these magnificent creatures—our closest animal relatives—we must urgently stop destructive palm oil farming in Indonesia and demand sustainable alternatives.</w:t>
            </w:r>
          </w:p>
          <w:p>
            <w:pPr>
              <w:spacing w:after="80" w:before="80"/>
            </w:pPr>
            <w:r>
              <w:rPr>
                <w:b/>
                <w:bCs/>
                <w:color w:val="C88A2B"/>
                <w:sz w:val="20"/>
                <w:szCs w:val="20"/>
              </w:rPr>
              <w:t xml:space="preserve">[VISUAL CUE: Slide changes to show WWF map highlighting 80% forest loss in Borneo and Sumatra.]</w:t>
            </w:r>
          </w:p>
          <w:p>
            <w:pPr>
              <w:spacing w:after="100" w:before="60"/>
            </w:pPr>
            <w:r>
              <w:rPr>
                <w:i/>
                <w:iCs/>
                <w:color w:val="2E6F40"/>
                <w:sz w:val="20"/>
                <w:szCs w:val="20"/>
              </w:rPr>
              <w:t xml:space="preserve">[TONE: Authoritative, informative. PACE: Steady and clear.]
</w:t>
            </w:r>
            <w:r>
              <w:rPr>
                <w:sz w:val="22"/>
                <w:szCs w:val="22"/>
              </w:rPr>
              <w:t xml:space="preserve">Firstly, palm oil expansion is driving unprecedented habitat destruction. According to the World Wildlife Fund, over 80 per cent of orangutan habitat has been cleared in just twenty years. When these ancient trees are cut down, orangutans lose their shelter, nesting sites, and food. As world-renowned expert Dr Biruté Galdikas warned:</w:t>
            </w:r>
          </w:p>
          <w:p>
            <w:pPr>
              <w:spacing w:after="100" w:before="60"/>
            </w:pPr>
            <w:r>
              <w:rPr>
                <w:i/>
                <w:iCs/>
                <w:color w:val="2E6F40"/>
                <w:sz w:val="20"/>
                <w:szCs w:val="20"/>
              </w:rPr>
              <w:t xml:space="preserve">[PITCH: Lowered, deliberate emphasis. VOLUME: Increased slightly for quotation.]
</w:t>
            </w:r>
            <w:r>
              <w:rPr>
                <w:b/>
                <w:bCs/>
                <w:i/>
                <w:iCs/>
                <w:color w:val="1B4D3E"/>
                <w:sz w:val="22"/>
                <w:szCs w:val="22"/>
              </w:rPr>
              <w:t xml:space="preserve">“If we do not stop the clearing of Indonesia’s ancient canopies immediately, wild orangutans could become extinct within our lifetime.”</w:t>
            </w:r>
          </w:p>
          <w:p>
            <w:pPr>
              <w:spacing w:after="100" w:before="60"/>
            </w:pPr>
            <w:r>
              <w:rPr>
                <w:i/>
                <w:iCs/>
                <w:color w:val="2E6F40"/>
                <w:sz w:val="20"/>
                <w:szCs w:val="20"/>
              </w:rPr>
              <w:t xml:space="preserve">[TONE: Empathic, moving. GESTURE: Hand to heart or subtle lean forward.]
</w:t>
            </w:r>
            <w:r>
              <w:rPr>
                <w:sz w:val="22"/>
                <w:szCs w:val="22"/>
              </w:rPr>
              <w:t xml:space="preserve">Without their forest homes, these gentle copper-haired primates are left displaced, vulnerable, and starving.</w:t>
            </w:r>
          </w:p>
          <w:p>
            <w:pPr>
              <w:spacing w:after="80" w:before="80"/>
            </w:pPr>
            <w:r>
              <w:rPr>
                <w:b/>
                <w:bCs/>
                <w:color w:val="C88A2B"/>
                <w:sz w:val="20"/>
                <w:szCs w:val="20"/>
              </w:rPr>
              <w:t xml:space="preserve">[VISUAL CUE: Slide showing product labels with hidden palm oil names vs RSPO-certified sustainable logo.]</w:t>
            </w:r>
          </w:p>
          <w:p>
            <w:pPr>
              <w:spacing w:after="100" w:before="60"/>
            </w:pPr>
            <w:r>
              <w:rPr>
                <w:i/>
                <w:iCs/>
                <w:color w:val="2E6F40"/>
                <w:sz w:val="20"/>
                <w:szCs w:val="20"/>
              </w:rPr>
              <w:t xml:space="preserve">[TONE: Challenging, persuasive. EMPHASIS on '60 per cent'.]
</w:t>
            </w:r>
            <w:r>
              <w:rPr>
                <w:sz w:val="22"/>
                <w:szCs w:val="22"/>
              </w:rPr>
              <w:t xml:space="preserve">Secondly, International Union for Conservation of Nature data reveals that orangutan populations have plunged by over 60 per cent. Can we truly justify wiping out an entire species simply to produce cheap ingredients for chocolates, soaps, and cosmetics?</w:t>
            </w:r>
          </w:p>
          <w:p>
            <w:pPr>
              <w:spacing w:after="100" w:before="60"/>
            </w:pPr>
            <w:r>
              <w:rPr>
                <w:i/>
                <w:iCs/>
                <w:color w:val="2E6F40"/>
                <w:sz w:val="20"/>
                <w:szCs w:val="20"/>
              </w:rPr>
              <w:t xml:space="preserve">[TONE: Respectful, balanced, acknowledging complexity. PACE: Controlled.]
</w:t>
            </w:r>
            <w:r>
              <w:rPr>
                <w:sz w:val="22"/>
                <w:szCs w:val="22"/>
              </w:rPr>
              <w:t xml:space="preserve">Now, some people argue that palm oil farming is necessary because it provides jobs for local Indonesian workers. While economic livelihoods are important, destroying ancient ecosystems is an unsustainable disaster. Research shows that transitioning to eco-tourism and RSPO-certified sustainable farming creates long-term jobs without devastating the environment. We can protect jobs and save orangutans at the same time!</w:t>
            </w:r>
          </w:p>
          <w:p>
            <w:pPr>
              <w:spacing w:after="80" w:before="80"/>
            </w:pPr>
            <w:r>
              <w:rPr>
                <w:b/>
                <w:bCs/>
                <w:color w:val="C88A2B"/>
                <w:sz w:val="20"/>
                <w:szCs w:val="20"/>
              </w:rPr>
              <w:t xml:space="preserve">[VISUAL CUE: Final slide showing call to action: 'Check the Label. Choose Sustainable. Save the Rainforest.']</w:t>
            </w:r>
          </w:p>
          <w:p>
            <w:pPr>
              <w:spacing w:after="100" w:before="60"/>
            </w:pPr>
            <w:r>
              <w:rPr>
                <w:i/>
                <w:iCs/>
                <w:color w:val="2E6F40"/>
                <w:sz w:val="20"/>
                <w:szCs w:val="20"/>
              </w:rPr>
              <w:t xml:space="preserve">[TONE: Inspiring, passionate, forceful. PACE: Slower for impact. GESTURE: Firm persuasive movement.]
</w:t>
            </w:r>
            <w:r>
              <w:rPr>
                <w:sz w:val="22"/>
                <w:szCs w:val="22"/>
              </w:rPr>
              <w:t xml:space="preserve">In conclusion, eradicating destructive palm oil farming in Indonesia is essential to prevent extinction. We cannot stand silently by while bulldozers tear down the lungs of our planet. </w:t>
            </w:r>
          </w:p>
          <w:p>
            <w:pPr>
              <w:spacing w:after="100" w:before="60"/>
            </w:pPr>
            <w:r>
              <w:rPr>
                <w:i/>
                <w:iCs/>
                <w:color w:val="2E6F40"/>
                <w:sz w:val="20"/>
                <w:szCs w:val="20"/>
              </w:rPr>
              <w:t xml:space="preserve">[PAUSE - 2 seconds. Look directly across audience.]
</w:t>
            </w:r>
            <w:r>
              <w:rPr>
                <w:b/>
                <w:bCs/>
                <w:sz w:val="22"/>
                <w:szCs w:val="22"/>
              </w:rPr>
              <w:t xml:space="preserve">The time for action is right now. Will you choose to protect Indonesia’s ancient rainforests before the last orangutan disappears forever?</w:t>
            </w:r>
          </w:p>
          <w:p>
            <w:pPr>
              <w:spacing w:after="60" w:before="60"/>
            </w:pPr>
            <w:r>
              <w:rPr>
                <w:sz w:val="22"/>
                <w:szCs w:val="22"/>
              </w:rPr>
              <w:t xml:space="preserve">Thank you.</w:t>
            </w:r>
          </w:p>
        </w:tc>
      </w:tr>
    </w:tbl>
    <w:p>
      <w:pPr>
        <w:spacing w:after="140" w:before="280"/>
      </w:pPr>
    </w:p>
    <w:p>
      <w:pPr>
        <w:pStyle w:val="Heading1"/>
        <w:spacing w:after="180" w:before="360"/>
      </w:pPr>
      <w:r>
        <w:rPr>
          <w:rFonts w:ascii="Arial" w:cs="Arial" w:eastAsia="Arial" w:hAnsi="Arial"/>
          <w:b/>
          <w:bCs/>
          <w:color w:val="1B4D3E"/>
          <w:sz w:val="32"/>
          <w:szCs w:val="32"/>
        </w:rPr>
        <w:t xml:space="preserve">5. Teacher Marking Guide &amp; Formative Feedback Grid</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200"/>
        <w:gridCol w:w="5026"/>
        <w:gridCol w:w="1800"/>
      </w:tblGrid>
      <w:tr>
        <w:trPr>
          <w:tblHeader/>
        </w:trPr>
        <w:tc>
          <w:tcPr>
            <w:tcW w:type="dxa" w:w="2200"/>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Assessment Aspect</w:t>
            </w:r>
          </w:p>
        </w:tc>
        <w:tc>
          <w:tcPr>
            <w:tcW w:type="dxa" w:w="5026"/>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A-Grade Achievement Description</w:t>
            </w:r>
          </w:p>
        </w:tc>
        <w:tc>
          <w:tcPr>
            <w:tcW w:type="dxa" w:w="1800"/>
            <w:tcBorders>
              <w:top w:val="single" w:color="CCCCCC" w:sz="4"/>
              <w:left w:val="single" w:color="CCCCCC" w:sz="4"/>
              <w:bottom w:val="single" w:color="CCCCCC" w:sz="4"/>
              <w:right w:val="single" w:color="CCCCCC" w:sz="4"/>
            </w:tcBorders>
            <w:shd w:fill="1B4D3E" w:val="clear"/>
          </w:tcPr>
          <w:p>
            <w:r>
              <w:rPr>
                <w:b/>
                <w:bCs/>
                <w:color w:val="FFFFFF"/>
                <w:sz w:val="22"/>
                <w:szCs w:val="22"/>
              </w:rPr>
              <w:t xml:space="preserve">Exemplar Result</w:t>
            </w:r>
          </w:p>
        </w:tc>
      </w:tr>
      <w:tr>
        <w:tc>
          <w:tcPr>
            <w:tcW w:type="dxa" w:w="22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Writing &amp; Creating:</w:t>
            </w:r>
          </w:p>
          <w:p>
            <w:r>
              <w:rPr>
                <w:b w:val="false"/>
                <w:bCs w:val="false"/>
                <w:color w:val="1B4D3E"/>
                <w:sz w:val="20"/>
                <w:szCs w:val="20"/>
              </w:rPr>
              <w:t xml:space="preserve">Text Structure</w:t>
            </w:r>
          </w:p>
        </w:tc>
        <w:tc>
          <w:tcPr>
            <w:tcW w:type="dxa" w:w="5026"/>
            <w:tcBorders>
              <w:top w:val="single" w:color="CCCCCC" w:sz="4"/>
              <w:left w:val="single" w:color="CCCCCC" w:sz="4"/>
              <w:bottom w:val="single" w:color="CCCCCC" w:sz="4"/>
              <w:right w:val="single" w:color="CCCCCC" w:sz="4"/>
            </w:tcBorders>
            <w:shd w:fill="F0F7F4" w:val="clear"/>
          </w:tcPr>
          <w:p>
            <w:r>
              <w:rPr>
                <w:sz w:val="20"/>
                <w:szCs w:val="20"/>
              </w:rPr>
              <w:t xml:space="preserve">Creates a detailed, sequenced and cohesive written persuasive text for an identified audience, using a range of well-structured paragraphs and cohesive devices.</w:t>
            </w:r>
          </w:p>
        </w:tc>
        <w:tc>
          <w:tcPr>
            <w:tcW w:type="dxa" w:w="1800"/>
            <w:tcBorders>
              <w:top w:val="single" w:color="CCCCCC" w:sz="4"/>
              <w:left w:val="single" w:color="CCCCCC" w:sz="4"/>
              <w:bottom w:val="single" w:color="CCCCCC" w:sz="4"/>
              <w:right w:val="single" w:color="CCCCCC" w:sz="4"/>
            </w:tcBorders>
            <w:shd w:fill="F0F7F4" w:val="clear"/>
          </w:tcPr>
          <w:p>
            <w:pPr>
              <w:jc w:val="center"/>
            </w:pPr>
            <w:r>
              <w:rPr>
                <w:b/>
                <w:bCs/>
                <w:color w:val="1B4D3E"/>
                <w:sz w:val="20"/>
                <w:szCs w:val="20"/>
              </w:rPr>
              <w:t xml:space="preserve">GRADE A</w:t>
            </w:r>
          </w:p>
          <w:p>
            <w:pPr>
              <w:jc w:val="center"/>
            </w:pPr>
            <w:r>
              <w:rPr>
                <w:b/>
                <w:bCs/>
                <w:color w:val="2E6F40"/>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Writing &amp; Creating:</w:t>
            </w:r>
          </w:p>
          <w:p>
            <w:r>
              <w:rPr>
                <w:b w:val="false"/>
                <w:bCs w:val="false"/>
                <w:color w:val="1B4D3E"/>
                <w:sz w:val="20"/>
                <w:szCs w:val="20"/>
              </w:rPr>
              <w:t xml:space="preserve">Ideas &amp; Evidence</w:t>
            </w:r>
          </w:p>
        </w:tc>
        <w:tc>
          <w:tcPr>
            <w:tcW w:type="dxa" w:w="5026"/>
            <w:tcBorders>
              <w:top w:val="single" w:color="CCCCCC" w:sz="4"/>
              <w:left w:val="single" w:color="CCCCCC" w:sz="4"/>
              <w:bottom w:val="single" w:color="CCCCCC" w:sz="4"/>
              <w:right w:val="single" w:color="CCCCCC" w:sz="4"/>
            </w:tcBorders>
            <w:shd w:fill="FFFFFF" w:val="clear"/>
          </w:tcPr>
          <w:p>
            <w:r>
              <w:rPr>
                <w:sz w:val="20"/>
                <w:szCs w:val="20"/>
              </w:rPr>
              <w:t xml:space="preserve">Develops and expands on ideas, providing supporting details and drawing information from authoritative sources. Rebuts counterarguments.</w:t>
            </w:r>
          </w:p>
        </w:tc>
        <w:tc>
          <w:tcPr>
            <w:tcW w:type="dxa" w:w="1800"/>
            <w:tcBorders>
              <w:top w:val="single" w:color="CCCCCC" w:sz="4"/>
              <w:left w:val="single" w:color="CCCCCC" w:sz="4"/>
              <w:bottom w:val="single" w:color="CCCCCC" w:sz="4"/>
              <w:right w:val="single" w:color="CCCCCC" w:sz="4"/>
            </w:tcBorders>
            <w:shd w:fill="FFFFFF" w:val="clear"/>
          </w:tcPr>
          <w:p>
            <w:pPr>
              <w:jc w:val="center"/>
            </w:pPr>
            <w:r>
              <w:rPr>
                <w:b/>
                <w:bCs/>
                <w:color w:val="1B4D3E"/>
                <w:sz w:val="20"/>
                <w:szCs w:val="20"/>
              </w:rPr>
              <w:t xml:space="preserve">GRADE A</w:t>
            </w:r>
          </w:p>
          <w:p>
            <w:pPr>
              <w:jc w:val="center"/>
            </w:pPr>
            <w:r>
              <w:rPr>
                <w:b/>
                <w:bCs/>
                <w:color w:val="2E6F40"/>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Writing &amp; Creating:</w:t>
            </w:r>
          </w:p>
          <w:p>
            <w:r>
              <w:rPr>
                <w:b w:val="false"/>
                <w:bCs w:val="false"/>
                <w:color w:val="1B4D3E"/>
                <w:sz w:val="20"/>
                <w:szCs w:val="20"/>
              </w:rPr>
              <w:t xml:space="preserve">Language Features</w:t>
            </w:r>
          </w:p>
        </w:tc>
        <w:tc>
          <w:tcPr>
            <w:tcW w:type="dxa" w:w="5026"/>
            <w:tcBorders>
              <w:top w:val="single" w:color="CCCCCC" w:sz="4"/>
              <w:left w:val="single" w:color="CCCCCC" w:sz="4"/>
              <w:bottom w:val="single" w:color="CCCCCC" w:sz="4"/>
              <w:right w:val="single" w:color="CCCCCC" w:sz="4"/>
            </w:tcBorders>
            <w:shd w:fill="F0F7F4" w:val="clear"/>
          </w:tcPr>
          <w:p>
            <w:r>
              <w:rPr>
                <w:sz w:val="20"/>
                <w:szCs w:val="20"/>
              </w:rPr>
              <w:t xml:space="preserve">Uses a wide range of language features creatively, including complex sentences with expanded noun groups, modal verbs, literary devices, and topic vocabulary.</w:t>
            </w:r>
          </w:p>
        </w:tc>
        <w:tc>
          <w:tcPr>
            <w:tcW w:type="dxa" w:w="1800"/>
            <w:tcBorders>
              <w:top w:val="single" w:color="CCCCCC" w:sz="4"/>
              <w:left w:val="single" w:color="CCCCCC" w:sz="4"/>
              <w:bottom w:val="single" w:color="CCCCCC" w:sz="4"/>
              <w:right w:val="single" w:color="CCCCCC" w:sz="4"/>
            </w:tcBorders>
            <w:shd w:fill="F0F7F4" w:val="clear"/>
          </w:tcPr>
          <w:p>
            <w:pPr>
              <w:jc w:val="center"/>
            </w:pPr>
            <w:r>
              <w:rPr>
                <w:b/>
                <w:bCs/>
                <w:color w:val="1B4D3E"/>
                <w:sz w:val="20"/>
                <w:szCs w:val="20"/>
              </w:rPr>
              <w:t xml:space="preserve">GRADE A</w:t>
            </w:r>
          </w:p>
          <w:p>
            <w:pPr>
              <w:jc w:val="center"/>
            </w:pPr>
            <w:r>
              <w:rPr>
                <w:b/>
                <w:bCs/>
                <w:color w:val="2E6F40"/>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FFFFF" w:val="clear"/>
          </w:tcPr>
          <w:p>
            <w:r>
              <w:rPr>
                <w:b/>
                <w:bCs/>
                <w:color w:val="1B4D3E"/>
                <w:sz w:val="20"/>
                <w:szCs w:val="20"/>
              </w:rPr>
              <w:t xml:space="preserve">Speaking &amp; Listening:</w:t>
            </w:r>
          </w:p>
          <w:p>
            <w:r>
              <w:rPr>
                <w:b w:val="false"/>
                <w:bCs w:val="false"/>
                <w:color w:val="1B4D3E"/>
                <w:sz w:val="20"/>
                <w:szCs w:val="20"/>
              </w:rPr>
              <w:t xml:space="preserve">Oral Presentation</w:t>
            </w:r>
          </w:p>
        </w:tc>
        <w:tc>
          <w:tcPr>
            <w:tcW w:type="dxa" w:w="5026"/>
            <w:tcBorders>
              <w:top w:val="single" w:color="CCCCCC" w:sz="4"/>
              <w:left w:val="single" w:color="CCCCCC" w:sz="4"/>
              <w:bottom w:val="single" w:color="CCCCCC" w:sz="4"/>
              <w:right w:val="single" w:color="CCCCCC" w:sz="4"/>
            </w:tcBorders>
            <w:shd w:fill="FFFFFF" w:val="clear"/>
          </w:tcPr>
          <w:p>
            <w:r>
              <w:rPr>
                <w:sz w:val="20"/>
                <w:szCs w:val="20"/>
              </w:rPr>
              <w:t xml:space="preserve">Presents and justifies an opinion using researched details. Varies pitch, tone, pace, and volume to enhance audience engagement and persuasive force.</w:t>
            </w:r>
          </w:p>
        </w:tc>
        <w:tc>
          <w:tcPr>
            <w:tcW w:type="dxa" w:w="1800"/>
            <w:tcBorders>
              <w:top w:val="single" w:color="CCCCCC" w:sz="4"/>
              <w:left w:val="single" w:color="CCCCCC" w:sz="4"/>
              <w:bottom w:val="single" w:color="CCCCCC" w:sz="4"/>
              <w:right w:val="single" w:color="CCCCCC" w:sz="4"/>
            </w:tcBorders>
            <w:shd w:fill="FFFFFF" w:val="clear"/>
          </w:tcPr>
          <w:p>
            <w:pPr>
              <w:jc w:val="center"/>
            </w:pPr>
            <w:r>
              <w:rPr>
                <w:b/>
                <w:bCs/>
                <w:color w:val="1B4D3E"/>
                <w:sz w:val="20"/>
                <w:szCs w:val="20"/>
              </w:rPr>
              <w:t xml:space="preserve">GRADE A</w:t>
            </w:r>
          </w:p>
          <w:p>
            <w:pPr>
              <w:jc w:val="center"/>
            </w:pPr>
            <w:r>
              <w:rPr>
                <w:b/>
                <w:bCs/>
                <w:color w:val="2E6F40"/>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0F7F4" w:val="clear"/>
          </w:tcPr>
          <w:p>
            <w:r>
              <w:rPr>
                <w:b/>
                <w:bCs/>
                <w:color w:val="1B4D3E"/>
                <w:sz w:val="20"/>
                <w:szCs w:val="20"/>
              </w:rPr>
              <w:t xml:space="preserve">Spelling Strategy:</w:t>
            </w:r>
          </w:p>
          <w:p>
            <w:r>
              <w:rPr>
                <w:b w:val="false"/>
                <w:bCs w:val="false"/>
                <w:color w:val="1B4D3E"/>
                <w:sz w:val="20"/>
                <w:szCs w:val="20"/>
              </w:rPr>
              <w:t xml:space="preserve">Monitoring</w:t>
            </w:r>
          </w:p>
        </w:tc>
        <w:tc>
          <w:tcPr>
            <w:tcW w:type="dxa" w:w="5026"/>
            <w:tcBorders>
              <w:top w:val="single" w:color="CCCCCC" w:sz="4"/>
              <w:left w:val="single" w:color="CCCCCC" w:sz="4"/>
              <w:bottom w:val="single" w:color="CCCCCC" w:sz="4"/>
              <w:right w:val="single" w:color="CCCCCC" w:sz="4"/>
            </w:tcBorders>
            <w:shd w:fill="F0F7F4" w:val="clear"/>
          </w:tcPr>
          <w:p>
            <w:r>
              <w:rPr>
                <w:sz w:val="20"/>
                <w:szCs w:val="20"/>
              </w:rPr>
              <w:t xml:space="preserve">Spells complex topic-specific words and morphological variants accurately throughout.</w:t>
            </w:r>
          </w:p>
        </w:tc>
        <w:tc>
          <w:tcPr>
            <w:tcW w:type="dxa" w:w="1800"/>
            <w:tcBorders>
              <w:top w:val="single" w:color="CCCCCC" w:sz="4"/>
              <w:left w:val="single" w:color="CCCCCC" w:sz="4"/>
              <w:bottom w:val="single" w:color="CCCCCC" w:sz="4"/>
              <w:right w:val="single" w:color="CCCCCC" w:sz="4"/>
            </w:tcBorders>
            <w:shd w:fill="F0F7F4" w:val="clear"/>
          </w:tcPr>
          <w:p>
            <w:pPr>
              <w:jc w:val="center"/>
            </w:pPr>
            <w:r>
              <w:rPr>
                <w:b/>
                <w:bCs/>
                <w:color w:val="1B4D3E"/>
                <w:sz w:val="20"/>
                <w:szCs w:val="20"/>
              </w:rPr>
              <w:t xml:space="preserve">DEMONSTRATING</w:t>
            </w:r>
          </w:p>
          <w:p>
            <w:pPr>
              <w:jc w:val="center"/>
            </w:pPr>
            <w:r>
              <w:rPr>
                <w:b/>
                <w:bCs/>
                <w:color w:val="2E6F40"/>
                <w:sz w:val="20"/>
                <w:szCs w:val="20"/>
              </w:rPr>
              <w:t xml:space="preserve">(Pass)</w:t>
            </w:r>
          </w:p>
        </w:tc>
      </w:tr>
    </w:tbl>
    <w:p>
      <w:pPr>
        <w:spacing w:after="100" w:before="20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C88A2B" w:sz="12"/>
              <w:left w:val="single" w:color="C88A2B" w:sz="12"/>
              <w:bottom w:val="single" w:color="C88A2B" w:sz="12"/>
              <w:right w:val="single" w:color="C88A2B" w:sz="12"/>
            </w:tcBorders>
            <w:shd w:fill="F0F7F4" w:val="clear"/>
          </w:tcPr>
          <w:p>
            <w:pPr>
              <w:spacing w:after="120" w:before="60"/>
            </w:pPr>
            <w:r>
              <w:rPr>
                <w:rFonts w:ascii="Arial" w:cs="Arial" w:eastAsia="Arial" w:hAnsi="Arial"/>
                <w:b/>
                <w:bCs/>
                <w:color w:val="C88A2B"/>
                <w:sz w:val="24"/>
                <w:szCs w:val="24"/>
              </w:rPr>
              <w:t xml:space="preserve">💬 Teacher Formative Feedback Comment Example</w:t>
            </w:r>
          </w:p>
          <w:p>
            <w:pPr>
              <w:spacing w:after="60" w:before="60" w:line="276"/>
            </w:pPr>
            <w:r>
              <w:rPr>
                <w:i/>
                <w:iCs/>
                <w:sz w:val="20"/>
                <w:szCs w:val="20"/>
              </w:rPr>
              <w:t xml:space="preserve">“Outstanding work! You have written an exceptionally powerful and well-researched persuasive text on the protection of Indonesian orangutans. Your paragraph structure is clear and cohesive, leading the reader logically from the environmental crisis to a convincing solution. I was particularly impressed by your integration of authoritative evidence from the WWF and Dr Biruté Galdikas, as well as your mature handling of the economic counterargument regarding local farming livelihoods. In your oral presentation, your annotations for tone, pitch, and strategic pauses showed a deep understanding of how to engage and persuade an audience. To stretch yourself even further, consider discussing how consumer boycotts might influence supermarket labeling laws in Australia.”</w:t>
            </w:r>
          </w:p>
          <w:p>
            <w:pPr>
              <w:spacing w:after="0" w:before="60"/>
            </w:pPr>
            <w:r>
              <w:rPr>
                <w:b/>
                <w:bCs/>
                <w:sz w:val="20"/>
                <w:szCs w:val="20"/>
              </w:rPr>
              <w:t xml:space="preserve">Overall Standard Assessed: </w:t>
            </w:r>
            <w:r>
              <w:rPr>
                <w:b/>
                <w:bCs/>
                <w:color w:val="1B4D3E"/>
                <w:sz w:val="22"/>
                <w:szCs w:val="22"/>
              </w:rPr>
              <w:t xml:space="preserve">Grade A (Exemplary)</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B4D3E"/>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2E6F4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2026-08-20T22:08:12.041Z</dcterms:created>
  <dcterms:modified xsi:type="dcterms:W3CDTF">2026-08-20T22:08:12.042Z</dcterms:modified>
</cp:coreProperties>
</file>

<file path=docProps/custom.xml><?xml version="1.0" encoding="utf-8"?>
<Properties xmlns="http://schemas.openxmlformats.org/officeDocument/2006/custom-properties" xmlns:vt="http://schemas.openxmlformats.org/officeDocument/2006/docPropsVTypes"/>
</file>