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 w:before="0" w:line="240" w:lineRule="auto"/>
      </w:pPr>
      <w:r>
        <w:rPr>
          <w:rFonts w:ascii="Arial" w:cs="Arial" w:eastAsia="Arial" w:hAnsi="Arial"/>
          <w:b/>
          <w:bCs/>
          <w:color w:val="E46F61"/>
          <w:sz w:val="15"/>
          <w:szCs w:val="15"/>
        </w:rPr>
        <w:t xml:space="preserve">SUPPLEMENTAL LESSON 14 • STUDENT READING</w:t>
      </w:r>
    </w:p>
    <w:p>
      <w:pPr>
        <w:spacing w:after="15" w:before="0" w:line="240" w:lineRule="auto"/>
      </w:pPr>
      <w:r>
        <w:rPr>
          <w:rFonts w:ascii="Arial" w:cs="Arial" w:eastAsia="Arial" w:hAnsi="Arial"/>
          <w:b/>
          <w:bCs/>
          <w:color w:val="123E58"/>
          <w:sz w:val="31"/>
          <w:szCs w:val="31"/>
        </w:rPr>
        <w:t xml:space="preserve">The Great Barrier Reef: Living, Changing, Worth Protecting</w:t>
      </w:r>
    </w:p>
    <w:p>
      <w:pPr>
        <w:spacing w:after="55" w:before="0" w:line="240" w:lineRule="auto"/>
      </w:pPr>
      <w:r>
        <w:rPr>
          <w:rFonts w:ascii="Arial" w:cs="Arial" w:eastAsia="Arial" w:hAnsi="Arial"/>
          <w:color w:val="60747A"/>
          <w:sz w:val="18"/>
          <w:szCs w:val="18"/>
        </w:rPr>
        <w:t xml:space="preserve">Read for evidence (E), action (A) and the details that prevent an oversimplified argument.</w:t>
      </w:r>
    </w:p>
    <w:tbl>
      <w:tblPr>
        <w:tblW w:type="dxa" w:w="10540"/>
        <w:tblInd w:type="dxa" w:w="12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540"/>
      </w:tblGrid>
      <w:tr>
        <w:tc>
          <w:tcPr>
            <w:tcW w:type="dxa" w:w="10540"/>
            <w:tcBorders>
              <w:top w:val="single" w:color="087E8B" w:sz="5"/>
              <w:left w:val="single" w:color="087E8B" w:sz="5"/>
              <w:bottom w:val="single" w:color="087E8B" w:sz="5"/>
              <w:right w:val="single" w:color="087E8B" w:sz="5"/>
            </w:tcBorders>
            <w:shd w:fill="E8F5F3" w:val="clear"/>
            <w:tcMar>
              <w:top w:type="dxa" w:w="95"/>
              <w:left w:type="dxa" w:w="110"/>
              <w:bottom w:type="dxa" w:w="95"/>
              <w:right w:type="dxa" w:w="110"/>
            </w:tcMar>
            <w:vAlign w:val="center"/>
          </w:tcPr>
          <w:p>
            <w:pPr>
              <w:spacing w:after="10" w:before="0" w:line="240" w:lineRule="auto"/>
            </w:pPr>
            <w:r>
              <w:rPr>
                <w:rFonts w:ascii="Arial" w:cs="Arial" w:eastAsia="Arial" w:hAnsi="Arial"/>
                <w:b/>
                <w:bCs/>
                <w:color w:val="087E8B"/>
                <w:sz w:val="16"/>
                <w:szCs w:val="16"/>
              </w:rPr>
              <w:t xml:space="preserve">READING MISSION</w:t>
            </w:r>
          </w:p>
          <w:p>
            <w:pPr>
              <w:spacing w:after="5" w:before="0" w:line="240" w:lineRule="auto"/>
            </w:pPr>
            <w:r>
              <w:rPr>
                <w:rFonts w:ascii="Arial" w:cs="Arial" w:eastAsia="Arial" w:hAnsi="Arial"/>
                <w:b/>
                <w:bCs/>
                <w:color w:val="20303C"/>
                <w:sz w:val="20"/>
                <w:szCs w:val="20"/>
              </w:rPr>
              <w:t xml:space="preserve">Mark at least four pieces of evidence with E, three possible responses with A, and box one sentence that adds necessary nuance.</w:t>
            </w:r>
          </w:p>
        </w:tc>
      </w:tr>
    </w:tbl>
    <w:p>
      <w:pPr>
        <w:keepNext/>
        <w:spacing w:after="45" w:before="80" w:line="240" w:lineRule="auto"/>
      </w:pPr>
      <w:r>
        <w:rPr>
          <w:rFonts w:ascii="Arial" w:cs="Arial" w:eastAsia="Arial" w:hAnsi="Arial"/>
          <w:b/>
          <w:bCs/>
          <w:color w:val="087E8B"/>
          <w:sz w:val="23"/>
          <w:szCs w:val="23"/>
        </w:rPr>
        <w:t xml:space="preserve">1  A vast living system</w:t>
      </w:r>
    </w:p>
    <w:p>
      <w:pPr>
        <w:spacing w:after="70" w:before="0" w:line="260" w:lineRule="auto"/>
      </w:pPr>
      <w:r>
        <w:rPr>
          <w:rFonts w:ascii="Arial" w:cs="Arial" w:eastAsia="Arial" w:hAnsi="Arial"/>
          <w:color w:val="20303C"/>
          <w:sz w:val="21"/>
          <w:szCs w:val="21"/>
        </w:rPr>
        <w:t xml:space="preserve">The Great Barrier Reef stretches about 2,300 kilometres along the Queensland coast and covers approximately 344,400 square kilometres. It is not one continuous wall of coral. It is a connected system of roughly 3,000 coral reefs, islands, seagrass meadows, mangroves, deep water and coastal habitats. These places support extraordinary life and are important to communities, industries and visitors.</w:t>
      </w:r>
    </w:p>
    <w:p>
      <w:pPr>
        <w:spacing w:after="70" w:before="0" w:line="260" w:lineRule="auto"/>
      </w:pPr>
      <w:r>
        <w:rPr>
          <w:rFonts w:ascii="Arial" w:cs="Arial" w:eastAsia="Arial" w:hAnsi="Arial"/>
          <w:color w:val="20303C"/>
          <w:sz w:val="21"/>
          <w:szCs w:val="21"/>
        </w:rPr>
        <w:t xml:space="preserve">The Reef is also Sea Country. About 70 Aboriginal and Torres Strait Islander Traditional Owner groups maintain continuing cultural, spiritual and practical connections with the region. Traditional Owners protect Sea Country through cultural knowledge, monitoring, planning and partnerships that also use contemporary science. Their custodianship is continuing—not simply part of the past.</w:t>
      </w:r>
    </w:p>
    <w:p>
      <w:pPr>
        <w:keepNext/>
        <w:spacing w:after="45" w:before="80" w:line="240" w:lineRule="auto"/>
      </w:pPr>
      <w:r>
        <w:rPr>
          <w:rFonts w:ascii="Arial" w:cs="Arial" w:eastAsia="Arial" w:hAnsi="Arial"/>
          <w:b/>
          <w:bCs/>
          <w:color w:val="087E8B"/>
          <w:sz w:val="23"/>
          <w:szCs w:val="23"/>
        </w:rPr>
        <w:t xml:space="preserve">2  What recent monitoring found</w:t>
      </w:r>
    </w:p>
    <w:p>
      <w:pPr>
        <w:spacing w:after="70" w:before="0" w:line="260" w:lineRule="auto"/>
      </w:pPr>
      <w:r>
        <w:rPr>
          <w:rFonts w:ascii="Arial" w:cs="Arial" w:eastAsia="Arial" w:hAnsi="Arial"/>
          <w:color w:val="20303C"/>
          <w:sz w:val="21"/>
          <w:szCs w:val="21"/>
        </w:rPr>
        <w:t xml:space="preserve">The condition of the Reef varies from place to place and year to year. During the severe 2024 mass bleaching event, heat stress affected the largest area recorded in a Great Barrier Reef bleaching event. Cyclones, floodwater and some crown-of-thorns starfish activity added further pressure. Scientists from the Australian Institute of Marine Science then surveyed 124 reefs between August 2024 and May 2025.</w:t>
      </w:r>
    </w:p>
    <w:p>
      <w:pPr>
        <w:spacing w:after="70" w:before="0" w:line="260" w:lineRule="auto"/>
      </w:pPr>
      <w:r>
        <w:rPr>
          <w:rFonts w:ascii="Arial" w:cs="Arial" w:eastAsia="Arial" w:hAnsi="Arial"/>
          <w:color w:val="20303C"/>
          <w:sz w:val="21"/>
          <w:szCs w:val="21"/>
        </w:rPr>
        <w:t xml:space="preserve">Their 2024/25 report found that average hard coral cover fell in the Northern, Central and Southern regions. The regional declines were about 14% to 30% compared with 2024. Across the 124 surveyed reefs, 48% declined, 42% showed no net change and 10% increased. Living coral remained in all three regions, but recent gains had been sharply reduced. This is serious evidence of pressure, not evidence that every reef is already dead.</w:t>
      </w:r>
    </w:p>
    <w:p>
      <w:pPr>
        <w:spacing w:after="70" w:before="0" w:line="260" w:lineRule="auto"/>
      </w:pPr>
      <w:r>
        <w:rPr>
          <w:rFonts w:ascii="Arial" w:cs="Arial" w:eastAsia="Arial" w:hAnsi="Arial"/>
          <w:color w:val="20303C"/>
          <w:sz w:val="21"/>
          <w:szCs w:val="21"/>
        </w:rPr>
        <w:t xml:space="preserve">During summer 2024-25, the Reef experienced another widespread bleaching event—the sixth since 2016 and the second in consecutive summers. It was less extensive than the 2023-24 event, but it again showed how little recovery time some reefs are receiving.</w:t>
      </w:r>
    </w:p>
    <w:p>
      <w:pPr>
        <w:keepNext/>
        <w:spacing w:after="45" w:before="80" w:line="240" w:lineRule="auto"/>
      </w:pPr>
      <w:r>
        <w:rPr>
          <w:rFonts w:ascii="Arial" w:cs="Arial" w:eastAsia="Arial" w:hAnsi="Arial"/>
          <w:b/>
          <w:bCs/>
          <w:color w:val="087E8B"/>
          <w:sz w:val="23"/>
          <w:szCs w:val="23"/>
        </w:rPr>
        <w:t xml:space="preserve">3  What bleaching means</w:t>
      </w:r>
    </w:p>
    <w:p>
      <w:pPr>
        <w:spacing w:after="70" w:before="0" w:line="260" w:lineRule="auto"/>
      </w:pPr>
      <w:r>
        <w:rPr>
          <w:rFonts w:ascii="Arial" w:cs="Arial" w:eastAsia="Arial" w:hAnsi="Arial"/>
          <w:color w:val="20303C"/>
          <w:sz w:val="21"/>
          <w:szCs w:val="21"/>
        </w:rPr>
        <w:t xml:space="preserve">Coral animals live with tiny algae that provide much of their energy and colour. When conditions become stressful, coral can expel these algae and turn pale or white. Water only 1-2°C above the usual summer maximum for several weeks can create enough heat stress to cause bleaching.</w:t>
      </w:r>
    </w:p>
    <w:p>
      <w:pPr>
        <w:spacing w:after="70" w:before="0" w:line="260" w:lineRule="auto"/>
      </w:pPr>
      <w:r>
        <w:rPr>
          <w:rFonts w:ascii="Arial" w:cs="Arial" w:eastAsia="Arial" w:hAnsi="Arial"/>
          <w:color w:val="20303C"/>
          <w:sz w:val="21"/>
          <w:szCs w:val="21"/>
        </w:rPr>
        <w:t xml:space="preserve">Bleached coral is not automatically dead. Some coral recovers if the heat passes; other coral dies when stress is too severe or lasts too long. Even surviving coral may grow or reproduce more slowly. A diverse reef can recover after disturbance, but recovery takes time. More frequent marine heatwaves leave less time before the next major pressure arrives.</w:t>
      </w:r>
    </w:p>
    <w:p>
      <w:pPr>
        <w:pageBreakBefore/>
        <w:spacing w:after="0" w:before="0" w:line="240" w:lineRule="auto"/>
      </w:pPr>
      <w:r>
        <w:rPr>
          <w:rFonts w:ascii="Arial" w:cs="Arial" w:eastAsia="Arial" w:hAnsi="Arial"/>
          <w:color w:val="20303C"/>
          <w:sz w:val="20"/>
          <w:szCs w:val="20"/>
        </w:rPr>
        <w:t xml:space="preserve"/>
      </w:r>
    </w:p>
    <w:p>
      <w:pPr>
        <w:spacing w:after="16" w:before="0" w:line="240" w:lineRule="auto"/>
      </w:pPr>
      <w:r>
        <w:rPr>
          <w:rFonts w:ascii="Arial" w:cs="Arial" w:eastAsia="Arial" w:hAnsi="Arial"/>
          <w:b/>
          <w:bCs/>
          <w:color w:val="E46F61"/>
          <w:sz w:val="15"/>
          <w:szCs w:val="15"/>
        </w:rPr>
        <w:t xml:space="preserve">SUPPLEMENTAL LESSON 14 • STUDENT READING</w:t>
      </w:r>
    </w:p>
    <w:p>
      <w:pPr>
        <w:spacing w:after="15" w:before="0" w:line="240" w:lineRule="auto"/>
      </w:pPr>
      <w:r>
        <w:rPr>
          <w:rFonts w:ascii="Arial" w:cs="Arial" w:eastAsia="Arial" w:hAnsi="Arial"/>
          <w:b/>
          <w:bCs/>
          <w:color w:val="123E58"/>
          <w:sz w:val="29"/>
          <w:szCs w:val="29"/>
        </w:rPr>
        <w:t xml:space="preserve">Protection at Two Scales</w:t>
      </w:r>
    </w:p>
    <w:p>
      <w:pPr>
        <w:spacing w:after="55" w:before="0" w:line="240" w:lineRule="auto"/>
      </w:pPr>
      <w:r>
        <w:rPr>
          <w:rFonts w:ascii="Arial" w:cs="Arial" w:eastAsia="Arial" w:hAnsi="Arial"/>
          <w:color w:val="60747A"/>
          <w:sz w:val="18"/>
          <w:szCs w:val="18"/>
        </w:rPr>
        <w:t xml:space="preserve">The strongest argument recognises what each scale can—and cannot—do.</w:t>
      </w:r>
    </w:p>
    <w:p>
      <w:pPr>
        <w:keepNext/>
        <w:spacing w:after="45" w:before="80" w:line="240" w:lineRule="auto"/>
      </w:pPr>
      <w:r>
        <w:rPr>
          <w:rFonts w:ascii="Arial" w:cs="Arial" w:eastAsia="Arial" w:hAnsi="Arial"/>
          <w:b/>
          <w:bCs/>
          <w:color w:val="087E8B"/>
          <w:sz w:val="23"/>
          <w:szCs w:val="23"/>
        </w:rPr>
        <w:t xml:space="preserve">4  Lens A: strengthen the Reef locally</w:t>
      </w:r>
    </w:p>
    <w:p>
      <w:pPr>
        <w:spacing w:after="70" w:before="0" w:line="260" w:lineRule="auto"/>
      </w:pPr>
      <w:r>
        <w:rPr>
          <w:rFonts w:ascii="Arial" w:cs="Arial" w:eastAsia="Arial" w:hAnsi="Arial"/>
          <w:color w:val="20303C"/>
          <w:sz w:val="21"/>
          <w:szCs w:val="21"/>
        </w:rPr>
        <w:t xml:space="preserve">Local and regional actions can reduce pressures that weaken Reef ecosystems. Improving the quality of water flowing from catchments can reduce fine sediment, excess nutrients, pesticides and other pollutants reaching the Reef. Managing crown-of-thorns starfish outbreaks, supporting sustainable fishing, reducing marine debris and protecting connected habitats can also help.</w:t>
      </w:r>
    </w:p>
    <w:p>
      <w:pPr>
        <w:spacing w:after="70" w:before="0" w:line="260" w:lineRule="auto"/>
      </w:pPr>
      <w:r>
        <w:rPr>
          <w:rFonts w:ascii="Arial" w:cs="Arial" w:eastAsia="Arial" w:hAnsi="Arial"/>
          <w:color w:val="20303C"/>
          <w:sz w:val="21"/>
          <w:szCs w:val="21"/>
        </w:rPr>
        <w:t xml:space="preserve">Traditional Owner Sea Country management brings continuing custodianship and cultural knowledge together with contemporary science. Researchers are also testing restoration and adaptation methods. These actions cannot cool the whole ocean, but they can improve conditions, protect important places and give coral communities more opportunity to survive or recover.</w:t>
      </w:r>
    </w:p>
    <w:p>
      <w:pPr>
        <w:keepNext/>
        <w:spacing w:after="45" w:before="80" w:line="240" w:lineRule="auto"/>
      </w:pPr>
      <w:r>
        <w:rPr>
          <w:rFonts w:ascii="Arial" w:cs="Arial" w:eastAsia="Arial" w:hAnsi="Arial"/>
          <w:b/>
          <w:bCs/>
          <w:color w:val="087E8B"/>
          <w:sz w:val="23"/>
          <w:szCs w:val="23"/>
        </w:rPr>
        <w:t xml:space="preserve">5  Lens B: address the primary long-term threat</w:t>
      </w:r>
    </w:p>
    <w:p>
      <w:pPr>
        <w:spacing w:after="70" w:before="0" w:line="260" w:lineRule="auto"/>
      </w:pPr>
      <w:r>
        <w:rPr>
          <w:rFonts w:ascii="Arial" w:cs="Arial" w:eastAsia="Arial" w:hAnsi="Arial"/>
          <w:color w:val="20303C"/>
          <w:sz w:val="21"/>
          <w:szCs w:val="21"/>
        </w:rPr>
        <w:t xml:space="preserve">Australian scientific assessments identify human-induced climate change as the primary threat to the Great Barrier Reef. Greenhouse gas emissions warm the atmosphere and ocean, increasing the pressure from marine heatwaves. Local projects can reduce other stresses, but they cannot by themselves stop climate-driven ocean warming.</w:t>
      </w:r>
    </w:p>
    <w:p>
      <w:pPr>
        <w:spacing w:after="70" w:before="0" w:line="260" w:lineRule="auto"/>
      </w:pPr>
      <w:r>
        <w:rPr>
          <w:rFonts w:ascii="Arial" w:cs="Arial" w:eastAsia="Arial" w:hAnsi="Arial"/>
          <w:color w:val="20303C"/>
          <w:sz w:val="21"/>
          <w:szCs w:val="21"/>
        </w:rPr>
        <w:t xml:space="preserve">For this reason, many scientists argue that the future of coral reefs requires strong reductions in greenhouse gas emissions as well as local management and adaptation. This lens works at a larger scale and over a longer timeframe, but the need is urgent because repeated bleaching events reduce recovery opportunities.</w:t>
      </w:r>
    </w:p>
    <w:p>
      <w:pPr>
        <w:keepNext/>
        <w:spacing w:after="45" w:before="80" w:line="240" w:lineRule="auto"/>
      </w:pPr>
      <w:r>
        <w:rPr>
          <w:rFonts w:ascii="Arial" w:cs="Arial" w:eastAsia="Arial" w:hAnsi="Arial"/>
          <w:b/>
          <w:bCs/>
          <w:color w:val="087E8B"/>
          <w:sz w:val="23"/>
          <w:szCs w:val="23"/>
        </w:rPr>
        <w:t xml:space="preserve">6  A protection plan without a false choice</w:t>
      </w:r>
    </w:p>
    <w:p>
      <w:pPr>
        <w:spacing w:after="70" w:before="0" w:line="260" w:lineRule="auto"/>
      </w:pPr>
      <w:r>
        <w:rPr>
          <w:rFonts w:ascii="Arial" w:cs="Arial" w:eastAsia="Arial" w:hAnsi="Arial"/>
          <w:color w:val="20303C"/>
          <w:sz w:val="21"/>
          <w:szCs w:val="21"/>
        </w:rPr>
        <w:t xml:space="preserve">The two lenses do not have to cancel each other. Climate action addresses the largest long-term pressure. Local resilience work reduces other harms and supports recovery now. Governments still have to make decisions about priority, funding, responsibility and timing, but a strong plan can explain the different job of each response.</w:t>
      </w:r>
    </w:p>
    <w:tbl>
      <w:tblPr>
        <w:tblW w:type="dxa" w:w="10540"/>
        <w:tblInd w:type="dxa" w:w="12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513"/>
        <w:gridCol w:w="3513"/>
        <w:gridCol w:w="3514"/>
      </w:tblGrid>
      <w:tr>
        <w:trPr>
          <w:tblHeader/>
        </w:trPr>
        <w:tc>
          <w:tcPr>
            <w:tcW w:type="dxa" w:w="3513"/>
            <w:tcBorders>
              <w:top w:val="single" w:color="A8C4C7" w:sz="5"/>
              <w:left w:val="single" w:color="A8C4C7" w:sz="5"/>
              <w:bottom w:val="single" w:color="A8C4C7" w:sz="5"/>
              <w:right w:val="single" w:color="A8C4C7" w:sz="5"/>
            </w:tcBorders>
            <w:shd w:fill="123E58" w:val="clear"/>
            <w:tcMar>
              <w:top w:type="dxa" w:w="80"/>
              <w:left w:type="dxa" w:w="110"/>
              <w:bottom w:type="dxa" w:w="80"/>
              <w:right w:type="dxa" w:w="110"/>
            </w:tcMar>
            <w:vAlign w:val="center"/>
          </w:tcPr>
          <w:p>
            <w:pPr>
              <w:spacing w:after="20" w:before="0" w:line="220" w:lineRule="auto"/>
            </w:pPr>
            <w:r>
              <w:rPr>
                <w:rFonts w:ascii="Arial" w:cs="Arial" w:eastAsia="Arial" w:hAnsi="Arial"/>
                <w:b/>
                <w:bCs/>
                <w:color w:val="FFFFFF"/>
                <w:sz w:val="18"/>
                <w:szCs w:val="18"/>
              </w:rPr>
              <w:t xml:space="preserve">Local-resilience lens</w:t>
            </w:r>
          </w:p>
        </w:tc>
        <w:tc>
          <w:tcPr>
            <w:tcW w:type="dxa" w:w="3513"/>
            <w:tcBorders>
              <w:top w:val="single" w:color="A8C4C7" w:sz="5"/>
              <w:left w:val="single" w:color="A8C4C7" w:sz="5"/>
              <w:bottom w:val="single" w:color="A8C4C7" w:sz="5"/>
              <w:right w:val="single" w:color="A8C4C7" w:sz="5"/>
            </w:tcBorders>
            <w:shd w:fill="123E58" w:val="clear"/>
            <w:tcMar>
              <w:top w:type="dxa" w:w="80"/>
              <w:left w:type="dxa" w:w="110"/>
              <w:bottom w:type="dxa" w:w="80"/>
              <w:right w:type="dxa" w:w="110"/>
            </w:tcMar>
            <w:vAlign w:val="center"/>
          </w:tcPr>
          <w:p>
            <w:pPr>
              <w:spacing w:after="20" w:before="0" w:line="220" w:lineRule="auto"/>
            </w:pPr>
            <w:r>
              <w:rPr>
                <w:rFonts w:ascii="Arial" w:cs="Arial" w:eastAsia="Arial" w:hAnsi="Arial"/>
                <w:b/>
                <w:bCs/>
                <w:color w:val="FFFFFF"/>
                <w:sz w:val="18"/>
                <w:szCs w:val="18"/>
              </w:rPr>
              <w:t xml:space="preserve">Honest overlap</w:t>
            </w:r>
          </w:p>
        </w:tc>
        <w:tc>
          <w:tcPr>
            <w:tcW w:type="dxa" w:w="3514"/>
            <w:tcBorders>
              <w:top w:val="single" w:color="A8C4C7" w:sz="5"/>
              <w:left w:val="single" w:color="A8C4C7" w:sz="5"/>
              <w:bottom w:val="single" w:color="A8C4C7" w:sz="5"/>
              <w:right w:val="single" w:color="A8C4C7" w:sz="5"/>
            </w:tcBorders>
            <w:shd w:fill="123E58" w:val="clear"/>
            <w:tcMar>
              <w:top w:type="dxa" w:w="80"/>
              <w:left w:type="dxa" w:w="110"/>
              <w:bottom w:type="dxa" w:w="80"/>
              <w:right w:type="dxa" w:w="110"/>
            </w:tcMar>
            <w:vAlign w:val="center"/>
          </w:tcPr>
          <w:p>
            <w:pPr>
              <w:spacing w:after="20" w:before="0" w:line="220" w:lineRule="auto"/>
            </w:pPr>
            <w:r>
              <w:rPr>
                <w:rFonts w:ascii="Arial" w:cs="Arial" w:eastAsia="Arial" w:hAnsi="Arial"/>
                <w:b/>
                <w:bCs/>
                <w:color w:val="FFFFFF"/>
                <w:sz w:val="18"/>
                <w:szCs w:val="18"/>
              </w:rPr>
              <w:t xml:space="preserve">Climate-action lens</w:t>
            </w:r>
          </w:p>
        </w:tc>
      </w:tr>
      <w:tr>
        <w:tc>
          <w:tcPr>
            <w:tcW w:type="dxa" w:w="3513"/>
            <w:tcBorders>
              <w:top w:val="single" w:color="A8C4C7" w:sz="5"/>
              <w:left w:val="single" w:color="A8C4C7" w:sz="5"/>
              <w:bottom w:val="single" w:color="A8C4C7" w:sz="5"/>
              <w:right w:val="single" w:color="A8C4C7" w:sz="5"/>
            </w:tcBorders>
            <w:tcMar>
              <w:top w:type="dxa" w:w="110"/>
              <w:left w:type="dxa" w:w="110"/>
              <w:bottom w:type="dxa" w:w="110"/>
              <w:right w:type="dxa" w:w="110"/>
            </w:tcMar>
            <w:vAlign w:val="center"/>
          </w:tcPr>
          <w:p>
            <w:pPr>
              <w:spacing w:after="20" w:before="0" w:line="220" w:lineRule="auto"/>
            </w:pPr>
            <w:r>
              <w:rPr>
                <w:rFonts w:ascii="Arial" w:cs="Arial" w:eastAsia="Arial" w:hAnsi="Arial"/>
                <w:color w:val="20303C"/>
                <w:sz w:val="19"/>
                <w:szCs w:val="19"/>
              </w:rPr>
              <w:t xml:space="preserve">Reduce current pressures and strengthen recovery conditions.</w:t>
            </w:r>
          </w:p>
        </w:tc>
        <w:tc>
          <w:tcPr>
            <w:tcW w:type="dxa" w:w="3513"/>
            <w:tcBorders>
              <w:top w:val="single" w:color="A8C4C7" w:sz="5"/>
              <w:left w:val="single" w:color="A8C4C7" w:sz="5"/>
              <w:bottom w:val="single" w:color="A8C4C7" w:sz="5"/>
              <w:right w:val="single" w:color="A8C4C7" w:sz="5"/>
            </w:tcBorders>
            <w:tcMar>
              <w:top w:type="dxa" w:w="110"/>
              <w:left w:type="dxa" w:w="110"/>
              <w:bottom w:type="dxa" w:w="110"/>
              <w:right w:type="dxa" w:w="110"/>
            </w:tcMar>
            <w:vAlign w:val="center"/>
          </w:tcPr>
          <w:p>
            <w:pPr>
              <w:spacing w:after="20" w:before="0" w:line="220" w:lineRule="auto"/>
            </w:pPr>
            <w:r>
              <w:rPr>
                <w:rFonts w:ascii="Arial" w:cs="Arial" w:eastAsia="Arial" w:hAnsi="Arial"/>
                <w:color w:val="20303C"/>
                <w:sz w:val="19"/>
                <w:szCs w:val="19"/>
              </w:rPr>
              <w:t xml:space="preserve">A living Reef with more opportunity to survive and recover.</w:t>
            </w:r>
          </w:p>
        </w:tc>
        <w:tc>
          <w:tcPr>
            <w:tcW w:type="dxa" w:w="3514"/>
            <w:tcBorders>
              <w:top w:val="single" w:color="A8C4C7" w:sz="5"/>
              <w:left w:val="single" w:color="A8C4C7" w:sz="5"/>
              <w:bottom w:val="single" w:color="A8C4C7" w:sz="5"/>
              <w:right w:val="single" w:color="A8C4C7" w:sz="5"/>
            </w:tcBorders>
            <w:tcMar>
              <w:top w:type="dxa" w:w="110"/>
              <w:left w:type="dxa" w:w="110"/>
              <w:bottom w:type="dxa" w:w="110"/>
              <w:right w:type="dxa" w:w="110"/>
            </w:tcMar>
            <w:vAlign w:val="center"/>
          </w:tcPr>
          <w:p>
            <w:pPr>
              <w:spacing w:after="20" w:before="0" w:line="220" w:lineRule="auto"/>
            </w:pPr>
            <w:r>
              <w:rPr>
                <w:rFonts w:ascii="Arial" w:cs="Arial" w:eastAsia="Arial" w:hAnsi="Arial"/>
                <w:color w:val="20303C"/>
                <w:sz w:val="19"/>
                <w:szCs w:val="19"/>
              </w:rPr>
              <w:t xml:space="preserve">Reduce the warming pressure driving widespread bleaching.</w:t>
            </w:r>
          </w:p>
        </w:tc>
      </w:tr>
    </w:tbl>
    <w:p>
      <w:pPr>
        <w:keepNext/>
        <w:spacing w:after="45" w:before="80" w:line="240" w:lineRule="auto"/>
      </w:pPr>
      <w:r>
        <w:rPr>
          <w:rFonts w:ascii="Arial" w:cs="Arial" w:eastAsia="Arial" w:hAnsi="Arial"/>
          <w:b/>
          <w:bCs/>
          <w:color w:val="E46F61"/>
          <w:sz w:val="23"/>
          <w:szCs w:val="23"/>
        </w:rPr>
        <w:t xml:space="preserve">Quick evidence check</w:t>
      </w:r>
    </w:p>
    <w:tbl>
      <w:tblPr>
        <w:tblW w:type="dxa" w:w="10540"/>
        <w:tblInd w:type="dxa" w:w="12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513"/>
        <w:gridCol w:w="3513"/>
        <w:gridCol w:w="3514"/>
      </w:tblGrid>
      <w:tr>
        <w:tc>
          <w:tcPr>
            <w:tcW w:type="dxa" w:w="3513"/>
            <w:tcBorders>
              <w:top w:val="single" w:color="A8C4C7" w:sz="5"/>
              <w:left w:val="single" w:color="A8C4C7" w:sz="5"/>
              <w:bottom w:val="single" w:color="A8C4C7" w:sz="5"/>
              <w:right w:val="single" w:color="A8C4C7" w:sz="5"/>
            </w:tcBorders>
            <w:shd w:fill="FCEBE7" w:val="clear"/>
            <w:tcMar>
              <w:top w:type="dxa" w:w="115"/>
              <w:left w:type="dxa" w:w="110"/>
              <w:bottom w:type="dxa" w:w="115"/>
              <w:right w:type="dxa" w:w="110"/>
            </w:tcMar>
            <w:vAlign w:val="center"/>
          </w:tcPr>
          <w:p>
            <w:pPr>
              <w:spacing w:after="20" w:before="0" w:line="220" w:lineRule="auto"/>
            </w:pPr>
            <w:r>
              <w:rPr>
                <w:rFonts w:ascii="Arial" w:cs="Arial" w:eastAsia="Arial" w:hAnsi="Arial"/>
                <w:b/>
                <w:bCs/>
                <w:color w:val="20303C"/>
                <w:sz w:val="18"/>
                <w:szCs w:val="18"/>
              </w:rPr>
              <w:t xml:space="preserve">1. Why is “the whole Reef is dead” inaccurate?</w:t>
            </w:r>
          </w:p>
        </w:tc>
        <w:tc>
          <w:tcPr>
            <w:tcW w:type="dxa" w:w="3513"/>
            <w:tcBorders>
              <w:top w:val="single" w:color="A8C4C7" w:sz="5"/>
              <w:left w:val="single" w:color="A8C4C7" w:sz="5"/>
              <w:bottom w:val="single" w:color="A8C4C7" w:sz="5"/>
              <w:right w:val="single" w:color="A8C4C7" w:sz="5"/>
            </w:tcBorders>
            <w:shd w:fill="E8F5F3" w:val="clear"/>
            <w:tcMar>
              <w:top w:type="dxa" w:w="115"/>
              <w:left w:type="dxa" w:w="110"/>
              <w:bottom w:type="dxa" w:w="115"/>
              <w:right w:type="dxa" w:w="110"/>
            </w:tcMar>
            <w:vAlign w:val="center"/>
          </w:tcPr>
          <w:p>
            <w:pPr>
              <w:spacing w:after="20" w:before="0" w:line="220" w:lineRule="auto"/>
            </w:pPr>
            <w:r>
              <w:rPr>
                <w:rFonts w:ascii="Arial" w:cs="Arial" w:eastAsia="Arial" w:hAnsi="Arial"/>
                <w:b/>
                <w:bCs/>
                <w:color w:val="20303C"/>
                <w:sz w:val="18"/>
                <w:szCs w:val="18"/>
              </w:rPr>
              <w:t xml:space="preserve">2. What can local action do?</w:t>
            </w:r>
          </w:p>
        </w:tc>
        <w:tc>
          <w:tcPr>
            <w:tcW w:type="dxa" w:w="3514"/>
            <w:tcBorders>
              <w:top w:val="single" w:color="A8C4C7" w:sz="5"/>
              <w:left w:val="single" w:color="A8C4C7" w:sz="5"/>
              <w:bottom w:val="single" w:color="A8C4C7" w:sz="5"/>
              <w:right w:val="single" w:color="A8C4C7" w:sz="5"/>
            </w:tcBorders>
            <w:shd w:fill="FFF5D9" w:val="clear"/>
            <w:tcMar>
              <w:top w:type="dxa" w:w="115"/>
              <w:left w:type="dxa" w:w="110"/>
              <w:bottom w:type="dxa" w:w="115"/>
              <w:right w:type="dxa" w:w="110"/>
            </w:tcMar>
            <w:vAlign w:val="center"/>
          </w:tcPr>
          <w:p>
            <w:pPr>
              <w:spacing w:after="20" w:before="0" w:line="220" w:lineRule="auto"/>
            </w:pPr>
            <w:r>
              <w:rPr>
                <w:rFonts w:ascii="Arial" w:cs="Arial" w:eastAsia="Arial" w:hAnsi="Arial"/>
                <w:b/>
                <w:bCs/>
                <w:color w:val="20303C"/>
                <w:sz w:val="18"/>
                <w:szCs w:val="18"/>
              </w:rPr>
              <w:t xml:space="preserve">3. What can local action not do by itself?</w:t>
            </w:r>
          </w:p>
        </w:tc>
      </w:tr>
      <w:tr>
        <w:tc>
          <w:tcPr>
            <w:tcW w:type="dxa" w:w="3513"/>
            <w:tcBorders>
              <w:top w:val="single" w:color="A8C4C7" w:sz="5"/>
              <w:left w:val="single" w:color="A8C4C7" w:sz="5"/>
              <w:bottom w:val="single" w:color="A8C4C7" w:sz="5"/>
              <w:right w:val="single" w:color="A8C4C7" w:sz="5"/>
            </w:tcBorders>
            <w:tcMar>
              <w:top w:type="dxa" w:w="95"/>
              <w:left w:type="dxa" w:w="110"/>
              <w:bottom w:type="dxa" w:w="95"/>
              <w:right w:type="dxa" w:w="110"/>
            </w:tcMar>
            <w:vAlign w:val="center"/>
          </w:tcPr>
          <w:p>
            <w:pPr>
              <w:spacing w:after="20" w:before="0" w:line="220" w:lineRule="auto"/>
            </w:pPr>
            <w:r>
              <w:rPr>
                <w:rFonts w:ascii="Arial" w:cs="Arial" w:eastAsia="Arial" w:hAnsi="Arial"/>
                <w:color w:val="20303C"/>
                <w:sz w:val="18"/>
                <w:szCs w:val="18"/>
              </w:rPr>
              <w:t xml:space="preserve">________________________________
________________________________</w:t>
            </w:r>
          </w:p>
        </w:tc>
        <w:tc>
          <w:tcPr>
            <w:tcW w:type="dxa" w:w="3513"/>
            <w:tcBorders>
              <w:top w:val="single" w:color="A8C4C7" w:sz="5"/>
              <w:left w:val="single" w:color="A8C4C7" w:sz="5"/>
              <w:bottom w:val="single" w:color="A8C4C7" w:sz="5"/>
              <w:right w:val="single" w:color="A8C4C7" w:sz="5"/>
            </w:tcBorders>
            <w:tcMar>
              <w:top w:type="dxa" w:w="95"/>
              <w:left w:type="dxa" w:w="110"/>
              <w:bottom w:type="dxa" w:w="95"/>
              <w:right w:type="dxa" w:w="110"/>
            </w:tcMar>
            <w:vAlign w:val="center"/>
          </w:tcPr>
          <w:p>
            <w:pPr>
              <w:spacing w:after="20" w:before="0" w:line="220" w:lineRule="auto"/>
            </w:pPr>
            <w:r>
              <w:rPr>
                <w:rFonts w:ascii="Arial" w:cs="Arial" w:eastAsia="Arial" w:hAnsi="Arial"/>
                <w:color w:val="20303C"/>
                <w:sz w:val="18"/>
                <w:szCs w:val="18"/>
              </w:rPr>
              <w:t xml:space="preserve">________________________________
________________________________</w:t>
            </w:r>
          </w:p>
        </w:tc>
        <w:tc>
          <w:tcPr>
            <w:tcW w:type="dxa" w:w="3514"/>
            <w:tcBorders>
              <w:top w:val="single" w:color="A8C4C7" w:sz="5"/>
              <w:left w:val="single" w:color="A8C4C7" w:sz="5"/>
              <w:bottom w:val="single" w:color="A8C4C7" w:sz="5"/>
              <w:right w:val="single" w:color="A8C4C7" w:sz="5"/>
            </w:tcBorders>
            <w:tcMar>
              <w:top w:type="dxa" w:w="95"/>
              <w:left w:type="dxa" w:w="110"/>
              <w:bottom w:type="dxa" w:w="95"/>
              <w:right w:type="dxa" w:w="110"/>
            </w:tcMar>
            <w:vAlign w:val="center"/>
          </w:tcPr>
          <w:p>
            <w:pPr>
              <w:spacing w:after="20" w:before="0" w:line="220" w:lineRule="auto"/>
            </w:pPr>
            <w:r>
              <w:rPr>
                <w:rFonts w:ascii="Arial" w:cs="Arial" w:eastAsia="Arial" w:hAnsi="Arial"/>
                <w:color w:val="20303C"/>
                <w:sz w:val="18"/>
                <w:szCs w:val="18"/>
              </w:rPr>
              <w:t xml:space="preserve">________________________________
________________________________</w:t>
            </w:r>
          </w:p>
        </w:tc>
      </w:tr>
    </w:tbl>
    <w:p>
      <w:pPr>
        <w:keepNext/>
        <w:spacing w:after="25" w:before="65" w:line="240" w:lineRule="auto"/>
      </w:pPr>
      <w:r>
        <w:rPr>
          <w:rFonts w:ascii="Arial" w:cs="Arial" w:eastAsia="Arial" w:hAnsi="Arial"/>
          <w:b/>
          <w:bCs/>
          <w:color w:val="60747A"/>
          <w:sz w:val="19"/>
          <w:szCs w:val="19"/>
        </w:rPr>
        <w:t xml:space="preserve">Source trail</w:t>
      </w:r>
    </w:p>
    <w:p>
      <w:pPr>
        <w:spacing w:after="0" w:before="0" w:line="210" w:lineRule="auto"/>
      </w:pPr>
      <w:r>
        <w:rPr>
          <w:rFonts w:ascii="Arial" w:cs="Arial" w:eastAsia="Arial" w:hAnsi="Arial"/>
          <w:color w:val="60747A"/>
          <w:sz w:val="16"/>
          <w:szCs w:val="16"/>
        </w:rPr>
        <w:t xml:space="preserve">[1] AIMS, Annual Summary Report of Coral Reef Condition 2024/25 (2025).  [2] Reef Authority, AIMS and CSIRO, Reef Snapshot: Summer 2024-25.  [3] AIMS, What is coral bleaching?  [4] Australian Government DCCEEW, Great Barrier Reef Scientific Consensus Statement (2024).  [5] Reef Authority, Great Barrier Reef Traditional Owners. Full links are in the teacher guide. Facts checked 29 July 2026.</w:t>
      </w:r>
    </w:p>
    <w:sectPr>
      <w:footerReference w:type="default" r:id="rId7"/>
      <w:pgSz w:w="11906" w:h="16838" w:orient="portrait"/>
      <w:pgMar w:top="850" w:right="850" w:bottom="850" w:left="850" w:header="300" w:footer="30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Arial" w:cs="Arial" w:eastAsia="Arial" w:hAnsi="Arial"/>
        <w:color w:val="60747A"/>
        <w:sz w:val="14"/>
        <w:szCs w:val="14"/>
      </w:rPr>
      <w:t xml:space="preserve">GBR reading pack  |  </w:t>
    </w:r>
    <w:r>
      <w:rPr>
        <w:rFonts w:ascii="Arial" w:cs="Arial" w:eastAsia="Arial" w:hAnsi="Arial"/>
        <w:color w:val="60747A"/>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0303C"/>
        <w:sz w:val="20"/>
        <w:szCs w:val="20"/>
      </w:rPr>
    </w:rPrDefault>
    <w:pPrDefault>
      <w:pPr>
        <w:spacing w:after="70" w:line="240"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14 Great Barrier Reef Reading Pack</dc:title>
  <dc:creator>English Unit 3 lesson generator</dc:creator>
  <dc:description>Supplemental Lesson 14 resource for Great Barrier Reef research and persuasive writing.</dc:description>
  <cp:lastModifiedBy>Un-named</cp:lastModifiedBy>
  <cp:revision>1</cp:revision>
  <dcterms:created xsi:type="dcterms:W3CDTF">2026-07-30T22:04:10.357Z</dcterms:created>
  <dcterms:modified xsi:type="dcterms:W3CDTF">2026-07-30T22:04:10.358Z</dcterms:modified>
</cp:coreProperties>
</file>

<file path=docProps/custom.xml><?xml version="1.0" encoding="utf-8"?>
<Properties xmlns="http://schemas.openxmlformats.org/officeDocument/2006/custom-properties" xmlns:vt="http://schemas.openxmlformats.org/officeDocument/2006/docPropsVTypes"/>
</file>