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 w:line="240" w:lineRule="auto"/>
      </w:pPr>
      <w:r>
        <w:rPr>
          <w:rFonts w:ascii="Arial" w:cs="Arial" w:eastAsia="Arial" w:hAnsi="Arial"/>
          <w:b/>
          <w:bCs/>
          <w:color w:val="D9684B"/>
          <w:sz w:val="16"/>
          <w:szCs w:val="16"/>
        </w:rPr>
        <w:t xml:space="preserve">BERANI  |  LESSON 14</w:t>
      </w:r>
    </w:p>
    <w:p>
      <w:pPr>
        <w:spacing w:after="25" w:before="0" w:line="240" w:lineRule="auto"/>
      </w:pPr>
      <w:r>
        <w:rPr>
          <w:rFonts w:ascii="Arial" w:cs="Arial" w:eastAsia="Arial" w:hAnsi="Arial"/>
          <w:b/>
          <w:bCs/>
          <w:color w:val="0B302C"/>
          <w:sz w:val="27"/>
          <w:szCs w:val="27"/>
        </w:rPr>
        <w:t xml:space="preserve">Double-Vision Board + Mirrored Plan</w:t>
      </w:r>
    </w:p>
    <w:p>
      <w:pPr>
        <w:spacing w:after="60" w:before="0" w:line="240" w:lineRule="auto"/>
      </w:pPr>
      <w:r>
        <w:rPr>
          <w:rFonts w:ascii="Arial" w:cs="Arial" w:eastAsia="Arial" w:hAnsi="Arial"/>
          <w:b/>
          <w:bCs/>
          <w:color w:val="5E6B70"/>
          <w:sz w:val="18"/>
          <w:szCs w:val="18"/>
        </w:rPr>
        <w:t xml:space="preserve">Double Vision</w:t>
      </w:r>
    </w:p>
    <w:p>
      <w:pPr>
        <w:spacing w:after="70" w:before="0" w:line="240" w:lineRule="auto"/>
      </w:pPr>
      <w:r>
        <w:rPr>
          <w:rFonts w:ascii="Arial" w:cs="Arial" w:eastAsia="Arial" w:hAnsi="Arial"/>
          <w:i/>
          <w:iCs/>
          <w:color w:val="5E6B70"/>
          <w:sz w:val="16"/>
          <w:szCs w:val="16"/>
        </w:rPr>
        <w:t xml:space="preserve">Name: ______________________________  Class: __________  Date: __________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1. Double-Vision Board</w:t>
      </w:r>
    </w:p>
    <w:tbl>
      <w:tblPr>
        <w:tblW w:type="dxa" w:w="10320"/>
        <w:tblInd w:type="dxa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40"/>
        <w:gridCol w:w="3440"/>
        <w:gridCol w:w="3440"/>
      </w:tblGrid>
      <w:tr>
        <w:trPr>
          <w:tblHeader/>
        </w:trPr>
        <w:tc>
          <w:tcPr>
            <w:tcW w:type="dxa" w:w="344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Ari interprets</w:t>
            </w:r>
          </w:p>
        </w:tc>
        <w:tc>
          <w:tcPr>
            <w:tcW w:type="dxa" w:w="344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Ginger Juice experiences</w:t>
            </w:r>
          </w:p>
        </w:tc>
        <w:tc>
          <w:tcPr>
            <w:tcW w:type="dxa" w:w="344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Both share</w:t>
            </w:r>
          </w:p>
        </w:tc>
      </w:tr>
      <w:tr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  <w:tr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  <w:tr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2. Difficult details</w:t>
      </w:r>
    </w:p>
    <w:tbl>
      <w:tblPr>
        <w:tblW w:type="dxa" w:w="10320"/>
        <w:tblInd w:type="dxa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580"/>
        <w:gridCol w:w="2580"/>
        <w:gridCol w:w="2580"/>
        <w:gridCol w:w="2580"/>
      </w:tblGrid>
      <w:tr>
        <w:trPr>
          <w:tblHeader/>
        </w:trPr>
        <w:tc>
          <w:tcPr>
            <w:tcW w:type="dxa" w:w="258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Detail</w:t>
            </w:r>
          </w:p>
        </w:tc>
        <w:tc>
          <w:tcPr>
            <w:tcW w:type="dxa" w:w="258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Ari's meaning</w:t>
            </w:r>
          </w:p>
        </w:tc>
        <w:tc>
          <w:tcPr>
            <w:tcW w:type="dxa" w:w="258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Ginger Juice's meaning</w:t>
            </w:r>
          </w:p>
        </w:tc>
        <w:tc>
          <w:tcPr>
            <w:tcW w:type="dxa" w:w="258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True overlap</w:t>
            </w:r>
          </w:p>
        </w:tc>
      </w:tr>
      <w:tr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16"/>
                <w:szCs w:val="16"/>
              </w:rPr>
              <w:t xml:space="preserve">Watching chess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 </w:t>
            </w:r>
          </w:p>
        </w:tc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  <w:tr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16"/>
                <w:szCs w:val="16"/>
              </w:rPr>
              <w:t xml:space="preserve">Touch / companionship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 </w:t>
            </w:r>
          </w:p>
        </w:tc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58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3. Evidence boundary</w:t>
      </w:r>
    </w:p>
    <w:tbl>
      <w:tblPr>
        <w:tblW w:type="dxa" w:w="10320"/>
        <w:tblInd w:type="dxa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40"/>
        <w:gridCol w:w="3440"/>
        <w:gridCol w:w="3440"/>
      </w:tblGrid>
      <w:tr>
        <w:trPr>
          <w:tblHeader/>
        </w:trPr>
        <w:tc>
          <w:tcPr>
            <w:tcW w:type="dxa" w:w="344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Supported</w:t>
            </w:r>
          </w:p>
        </w:tc>
        <w:tc>
          <w:tcPr>
            <w:tcW w:type="dxa" w:w="344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Reasonable inference</w:t>
            </w:r>
          </w:p>
        </w:tc>
        <w:tc>
          <w:tcPr>
            <w:tcW w:type="dxa" w:w="3440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Impossible for this character to know</w:t>
            </w:r>
          </w:p>
        </w:tc>
      </w:tr>
      <w:tr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3440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64E45"/>
          <w:sz w:val="22"/>
          <w:szCs w:val="22"/>
        </w:rPr>
        <w:t xml:space="preserve">4. Mirrored monologue plan</w:t>
      </w:r>
    </w:p>
    <w:tbl>
      <w:tblPr>
        <w:tblW w:type="dxa" w:w="10320"/>
        <w:tblInd w:type="dxa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064"/>
        <w:gridCol w:w="2064"/>
        <w:gridCol w:w="2064"/>
        <w:gridCol w:w="2064"/>
        <w:gridCol w:w="2064"/>
      </w:tblGrid>
      <w:tr>
        <w:trPr>
          <w:tblHeader/>
        </w:trPr>
        <w:tc>
          <w:tcPr>
            <w:tcW w:type="dxa" w:w="2064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Voice</w:t>
            </w:r>
          </w:p>
        </w:tc>
        <w:tc>
          <w:tcPr>
            <w:tcW w:type="dxa" w:w="2064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Notices</w:t>
            </w:r>
          </w:p>
        </w:tc>
        <w:tc>
          <w:tcPr>
            <w:tcW w:type="dxa" w:w="2064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Believes / understands</w:t>
            </w:r>
          </w:p>
        </w:tc>
        <w:tc>
          <w:tcPr>
            <w:tcW w:type="dxa" w:w="2064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Cannot know</w:t>
            </w:r>
          </w:p>
        </w:tc>
        <w:tc>
          <w:tcPr>
            <w:tcW w:type="dxa" w:w="2064"/>
            <w:tcBorders>
              <w:top w:val="single" w:color="0B302C" w:sz="5"/>
              <w:left w:val="single" w:color="0B302C" w:sz="5"/>
              <w:bottom w:val="single" w:color="0B302C" w:sz="5"/>
              <w:right w:val="single" w:color="0B302C" w:sz="5"/>
            </w:tcBorders>
            <w:shd w:fill="0B302C" w:val="clear"/>
            <w:tcMar>
              <w:top w:type="dxa" w:w="65"/>
              <w:left w:type="dxa" w:w="100"/>
              <w:bottom w:type="dxa" w:w="65"/>
              <w:right w:type="dxa" w:w="100"/>
            </w:tcMar>
            <w:vAlign w:val="center"/>
          </w:tcPr>
          <w:p>
            <w:pPr>
              <w:spacing w:after="20" w:before="0" w:line="220" w:lineRule="auto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Shared moment</w:t>
            </w:r>
          </w:p>
        </w:tc>
      </w:tr>
      <w:tr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16"/>
                <w:szCs w:val="16"/>
              </w:rPr>
              <w:t xml:space="preserve">Ari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 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  <w:tr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E8F2E9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16"/>
                <w:szCs w:val="16"/>
              </w:rPr>
              <w:t xml:space="preserve">Ginger Juice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 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  <w:tc>
          <w:tcPr>
            <w:tcW w:type="dxa" w:w="2064"/>
            <w:tcBorders>
              <w:top w:val="single" w:color="B8C7C2" w:sz="5"/>
              <w:left w:val="single" w:color="B8C7C2" w:sz="5"/>
              <w:bottom w:val="single" w:color="B8C7C2" w:sz="5"/>
              <w:right w:val="single" w:color="B8C7C2" w:sz="5"/>
            </w:tcBorders>
            <w:shd w:fill="FFFDF7" w:val="clear"/>
            <w:tcMar>
              <w:top w:type="dxa" w:w="75"/>
              <w:left w:type="dxa" w:w="100"/>
              <w:bottom w:type="dxa" w:w="75"/>
              <w:right w:type="dxa" w:w="100"/>
            </w:tcMar>
            <w:vAlign w:val="center"/>
          </w:tcPr>
          <w:p>
            <w:pPr>
              <w:spacing w:after="70" w:before="0" w:line="220" w:lineRule="auto"/>
            </w:pPr>
            <w:r>
              <w:rPr>
                <w:rFonts w:ascii="Arial" w:cs="Arial" w:eastAsia="Arial" w:hAnsi="Arial"/>
                <w:b w:val="false"/>
                <w:bCs w:val="false"/>
                <w:color w:val="20303C"/>
                <w:sz w:val="16"/>
                <w:szCs w:val="16"/>
              </w:rPr>
              <w:t xml:space="preserve"> </w:t>
            </w:r>
          </w:p>
          <w:p>
            <w:pPr>
              <w:spacing w:after="0" w:before="0" w:line="240" w:lineRule="auto"/>
            </w:pPr>
            <w:r>
              <w:rPr>
                <w:rFonts w:ascii="Arial" w:cs="Arial" w:eastAsia="Arial" w:hAnsi="Arial"/>
                <w:color w:val="B8C7C2"/>
                <w:sz w:val="14"/>
                <w:szCs w:val="14"/>
              </w:rPr>
              <w:t xml:space="preserve">________________________________</w:t>
            </w:r>
          </w:p>
        </w:tc>
      </w:tr>
    </w:tbl>
    <w:p>
      <w:pPr>
        <w:spacing w:after="0" w:before="90" w:line="240" w:lineRule="auto"/>
      </w:pPr>
      <w:r>
        <w:rPr>
          <w:rFonts w:ascii="Arial" w:cs="Arial" w:eastAsia="Arial" w:hAnsi="Arial"/>
          <w:b/>
          <w:bCs/>
          <w:color w:val="0B302C"/>
          <w:sz w:val="16"/>
          <w:szCs w:val="16"/>
        </w:rPr>
        <w:t xml:space="preserve">FINAL RESPONSE: A Dual Internal Monologue: 5-7 sentences from Ari followed by 5-7 sentences from Ginger Juice, both describing the same chessboard moment.</w:t>
      </w:r>
    </w:p>
    <w:sectPr>
      <w:headerReference w:type="default" r:id="rId7"/>
      <w:footerReference w:type="default" r:id="rId8"/>
      <w:pgSz w:w="11906" w:h="16838" w:orient="portrait"/>
      <w:pgMar w:top="1000" w:right="680" w:bottom="680" w:left="680" w:header="340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5E6B70"/>
        <w:sz w:val="14"/>
        <w:szCs w:val="14"/>
      </w:rPr>
      <w:t xml:space="preserve">Lesson 14  |  Page </w:t>
    </w:r>
    <w:r>
      <w:rPr>
        <w:rFonts w:ascii="Arial" w:cs="Arial" w:eastAsia="Arial" w:hAnsi="Arial"/>
        <w:color w:val="5E6B70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 w:line="240" w:lineRule="auto"/>
      <w:jc w:val="right"/>
    </w:pPr>
    <w:r>
      <w:rPr>
        <w:rFonts w:ascii="Arial" w:cs="Arial" w:eastAsia="Arial" w:hAnsi="Arial"/>
        <w:b/>
        <w:bCs/>
        <w:color w:val="5E6B70"/>
        <w:sz w:val="14"/>
        <w:szCs w:val="14"/>
      </w:rPr>
      <w:t xml:space="preserve">ENGLISH UNIT 3  |  WORKBOOK ORGANISER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3C"/>
        <w:sz w:val="20"/>
        <w:szCs w:val="20"/>
      </w:rPr>
    </w:rPrDefault>
    <w:pPrDefault>
      <w:pPr>
        <w:spacing w:after="80"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14 - Workbook Organiser</dc:title>
  <dc:creator>Joshua English Unit 3</dc:creator>
  <dc:description>Double Vision classroom workbook insert.</dc:description>
  <cp:lastModifiedBy>Un-named</cp:lastModifiedBy>
  <cp:revision>1</cp:revision>
  <dcterms:created xsi:type="dcterms:W3CDTF">2026-07-26T08:05:44.578Z</dcterms:created>
  <dcterms:modified xsi:type="dcterms:W3CDTF">2026-07-26T08:05:44.578Z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